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42" w:rsidRPr="00622642" w:rsidRDefault="00622642" w:rsidP="00622642">
      <w:pPr>
        <w:keepNext/>
        <w:tabs>
          <w:tab w:val="left" w:pos="708"/>
        </w:tabs>
        <w:suppressAutoHyphens/>
        <w:spacing w:before="240" w:after="0" w:line="360" w:lineRule="auto"/>
        <w:ind w:left="720"/>
        <w:jc w:val="center"/>
        <w:outlineLvl w:val="2"/>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SEMINARIO DE DERECHO LOCAL</w:t>
      </w:r>
    </w:p>
    <w:p w:rsidR="00622642" w:rsidRPr="00622642" w:rsidRDefault="00622642" w:rsidP="00622642">
      <w:pPr>
        <w:keepNext/>
        <w:tabs>
          <w:tab w:val="left" w:pos="708"/>
        </w:tabs>
        <w:suppressAutoHyphens/>
        <w:spacing w:before="240" w:after="0" w:line="360" w:lineRule="auto"/>
        <w:ind w:left="720"/>
        <w:jc w:val="center"/>
        <w:outlineLvl w:val="2"/>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INFORME EN MATERIA DE ORDENACION DEL TERRITORIO, URBANISMO Y VIVIENDA</w:t>
      </w:r>
    </w:p>
    <w:p w:rsidR="00622642" w:rsidRPr="00622642" w:rsidRDefault="00622642" w:rsidP="00622642">
      <w:pPr>
        <w:spacing w:after="0" w:line="240" w:lineRule="auto"/>
        <w:jc w:val="center"/>
        <w:rPr>
          <w:rFonts w:ascii="Times New Roman" w:eastAsia="Times New Roman" w:hAnsi="Times New Roman" w:cs="Times New Roman"/>
          <w:sz w:val="20"/>
          <w:szCs w:val="20"/>
          <w:lang w:eastAsia="es-ES"/>
        </w:rPr>
      </w:pPr>
      <w:r w:rsidRPr="00622642">
        <w:rPr>
          <w:rFonts w:ascii="Times New Roman" w:eastAsia="Times New Roman" w:hAnsi="Times New Roman" w:cs="Times New Roman"/>
          <w:sz w:val="20"/>
          <w:szCs w:val="20"/>
          <w:lang w:eastAsia="es-ES"/>
        </w:rPr>
        <w:t>Mª Josefa Aguado Orta.</w:t>
      </w:r>
    </w:p>
    <w:p w:rsidR="00622642" w:rsidRPr="00622642" w:rsidRDefault="00622642" w:rsidP="00622642">
      <w:pPr>
        <w:spacing w:after="0" w:line="240" w:lineRule="auto"/>
        <w:jc w:val="center"/>
        <w:rPr>
          <w:rFonts w:ascii="Times New Roman" w:eastAsia="Times New Roman" w:hAnsi="Times New Roman" w:cs="Times New Roman"/>
          <w:sz w:val="20"/>
          <w:szCs w:val="20"/>
          <w:lang w:eastAsia="es-ES"/>
        </w:rPr>
      </w:pPr>
      <w:r w:rsidRPr="00622642">
        <w:rPr>
          <w:rFonts w:ascii="Times New Roman" w:eastAsia="Times New Roman" w:hAnsi="Times New Roman" w:cs="Times New Roman"/>
          <w:sz w:val="20"/>
          <w:szCs w:val="20"/>
          <w:lang w:eastAsia="es-ES"/>
        </w:rPr>
        <w:t>Directora General de Contratación</w:t>
      </w:r>
    </w:p>
    <w:p w:rsidR="00622642" w:rsidRPr="00622642" w:rsidRDefault="00622642" w:rsidP="00622642">
      <w:pPr>
        <w:spacing w:after="0" w:line="240" w:lineRule="auto"/>
        <w:jc w:val="center"/>
        <w:rPr>
          <w:rFonts w:ascii="Times New Roman" w:eastAsia="Times New Roman" w:hAnsi="Times New Roman" w:cs="Times New Roman"/>
          <w:sz w:val="20"/>
          <w:szCs w:val="20"/>
          <w:lang w:eastAsia="es-ES"/>
        </w:rPr>
      </w:pPr>
      <w:r w:rsidRPr="00622642">
        <w:rPr>
          <w:rFonts w:ascii="Times New Roman" w:eastAsia="Times New Roman" w:hAnsi="Times New Roman" w:cs="Times New Roman"/>
          <w:sz w:val="20"/>
          <w:szCs w:val="20"/>
          <w:lang w:eastAsia="es-ES"/>
        </w:rPr>
        <w:t>Gobierno de Aragón</w:t>
      </w:r>
    </w:p>
    <w:p w:rsidR="00622642" w:rsidRPr="00622642" w:rsidRDefault="00622642" w:rsidP="00622642">
      <w:pPr>
        <w:spacing w:after="0" w:line="240" w:lineRule="auto"/>
        <w:jc w:val="center"/>
        <w:rPr>
          <w:rFonts w:ascii="Times New Roman" w:eastAsia="Times New Roman" w:hAnsi="Times New Roman" w:cs="Times New Roman"/>
          <w:sz w:val="20"/>
          <w:szCs w:val="20"/>
          <w:lang w:eastAsia="es-ES"/>
        </w:rPr>
      </w:pPr>
      <w:r w:rsidRPr="00622642">
        <w:rPr>
          <w:rFonts w:ascii="Times New Roman" w:eastAsia="Times New Roman" w:hAnsi="Times New Roman" w:cs="Times New Roman"/>
          <w:sz w:val="20"/>
          <w:szCs w:val="20"/>
          <w:lang w:eastAsia="es-ES"/>
        </w:rPr>
        <w:t xml:space="preserve">Fecha: </w:t>
      </w:r>
      <w:r w:rsidR="00D27A78">
        <w:rPr>
          <w:rFonts w:ascii="Times New Roman" w:eastAsia="Times New Roman" w:hAnsi="Times New Roman" w:cs="Times New Roman"/>
          <w:sz w:val="20"/>
          <w:szCs w:val="20"/>
          <w:lang w:eastAsia="es-ES"/>
        </w:rPr>
        <w:t>20 de mayo</w:t>
      </w:r>
      <w:r w:rsidRPr="00622642">
        <w:rPr>
          <w:rFonts w:ascii="Times New Roman" w:eastAsia="Times New Roman" w:hAnsi="Times New Roman" w:cs="Times New Roman"/>
          <w:sz w:val="20"/>
          <w:szCs w:val="20"/>
          <w:lang w:eastAsia="es-ES"/>
        </w:rPr>
        <w:t xml:space="preserve"> de 2021.</w:t>
      </w:r>
    </w:p>
    <w:p w:rsidR="00622642" w:rsidRPr="00622642" w:rsidRDefault="00622642" w:rsidP="00622642">
      <w:pPr>
        <w:tabs>
          <w:tab w:val="left" w:pos="-2268"/>
        </w:tabs>
        <w:spacing w:before="240" w:after="0" w:line="360" w:lineRule="auto"/>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b/>
          <w:sz w:val="24"/>
          <w:szCs w:val="20"/>
          <w:lang w:eastAsia="es-ES"/>
        </w:rPr>
        <w:t>SUMARIO</w:t>
      </w:r>
      <w:r w:rsidRPr="00622642">
        <w:rPr>
          <w:rFonts w:ascii="Times New Roman" w:eastAsia="Times New Roman" w:hAnsi="Times New Roman" w:cs="Times New Roman"/>
          <w:sz w:val="24"/>
          <w:szCs w:val="20"/>
          <w:lang w:eastAsia="es-ES"/>
        </w:rPr>
        <w:t>:</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b/>
          <w:sz w:val="18"/>
          <w:szCs w:val="20"/>
          <w:lang w:eastAsia="es-ES"/>
        </w:rPr>
        <w:t>I. NOVEDADES NORMATIVAS</w:t>
      </w:r>
      <w:r w:rsidRPr="00622642">
        <w:rPr>
          <w:rFonts w:ascii="Times New Roman" w:eastAsia="Times New Roman" w:hAnsi="Times New Roman" w:cs="Times New Roman"/>
          <w:sz w:val="18"/>
          <w:szCs w:val="20"/>
          <w:lang w:eastAsia="es-ES"/>
        </w:rPr>
        <w:t xml:space="preserve">. </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1. ESTADO.</w:t>
      </w:r>
    </w:p>
    <w:p w:rsidR="00622642" w:rsidRP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Real Decreto </w:t>
      </w:r>
      <w:r w:rsidR="00D27A78">
        <w:rPr>
          <w:rFonts w:ascii="Times New Roman" w:eastAsia="Times New Roman" w:hAnsi="Times New Roman" w:cs="Times New Roman"/>
          <w:sz w:val="18"/>
          <w:szCs w:val="20"/>
          <w:lang w:eastAsia="es-ES"/>
        </w:rPr>
        <w:t>178</w:t>
      </w:r>
      <w:r w:rsidRPr="00622642">
        <w:rPr>
          <w:rFonts w:ascii="Times New Roman" w:eastAsia="Times New Roman" w:hAnsi="Times New Roman" w:cs="Times New Roman"/>
          <w:sz w:val="18"/>
          <w:szCs w:val="20"/>
          <w:lang w:eastAsia="es-ES"/>
        </w:rPr>
        <w:t xml:space="preserve">/2020, </w:t>
      </w:r>
      <w:r w:rsidR="00D27A78">
        <w:rPr>
          <w:rFonts w:ascii="Times New Roman" w:eastAsia="Times New Roman" w:hAnsi="Times New Roman" w:cs="Times New Roman"/>
          <w:sz w:val="18"/>
          <w:szCs w:val="20"/>
          <w:lang w:eastAsia="es-ES"/>
        </w:rPr>
        <w:t>23</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marzo</w:t>
      </w:r>
      <w:r w:rsidRPr="00622642">
        <w:rPr>
          <w:rFonts w:ascii="Times New Roman" w:eastAsia="Times New Roman" w:hAnsi="Times New Roman" w:cs="Times New Roman"/>
          <w:sz w:val="18"/>
          <w:szCs w:val="20"/>
          <w:lang w:eastAsia="es-ES"/>
        </w:rPr>
        <w:t xml:space="preserve">, por el que se modifica el Real Decreto </w:t>
      </w:r>
      <w:r w:rsidR="00D27A78">
        <w:rPr>
          <w:rFonts w:ascii="Times New Roman" w:eastAsia="Times New Roman" w:hAnsi="Times New Roman" w:cs="Times New Roman"/>
          <w:sz w:val="18"/>
          <w:szCs w:val="20"/>
          <w:lang w:eastAsia="es-ES"/>
        </w:rPr>
        <w:t>1027</w:t>
      </w:r>
      <w:r w:rsidRPr="00622642">
        <w:rPr>
          <w:rFonts w:ascii="Times New Roman" w:eastAsia="Times New Roman" w:hAnsi="Times New Roman" w:cs="Times New Roman"/>
          <w:sz w:val="18"/>
          <w:szCs w:val="20"/>
          <w:lang w:eastAsia="es-ES"/>
        </w:rPr>
        <w:t>/</w:t>
      </w:r>
      <w:r w:rsidR="00D27A78">
        <w:rPr>
          <w:rFonts w:ascii="Times New Roman" w:eastAsia="Times New Roman" w:hAnsi="Times New Roman" w:cs="Times New Roman"/>
          <w:sz w:val="18"/>
          <w:szCs w:val="20"/>
          <w:lang w:eastAsia="es-ES"/>
        </w:rPr>
        <w:t>2007, de 20 de julio, por el que se aprueba el Reglamento de Instalaciones Térmicas en los Edificios</w:t>
      </w:r>
      <w:r w:rsidRPr="00622642">
        <w:rPr>
          <w:rFonts w:ascii="Times New Roman" w:eastAsia="Times New Roman" w:hAnsi="Times New Roman" w:cs="Times New Roman"/>
          <w:sz w:val="18"/>
          <w:szCs w:val="20"/>
          <w:lang w:eastAsia="es-ES"/>
        </w:rPr>
        <w:t xml:space="preserve">. (BOE núm. </w:t>
      </w:r>
      <w:r w:rsidR="00D27A78">
        <w:rPr>
          <w:rFonts w:ascii="Times New Roman" w:eastAsia="Times New Roman" w:hAnsi="Times New Roman" w:cs="Times New Roman"/>
          <w:sz w:val="18"/>
          <w:szCs w:val="20"/>
          <w:lang w:eastAsia="es-ES"/>
        </w:rPr>
        <w:t>71</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24</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marzo</w:t>
      </w:r>
      <w:r w:rsidRPr="00622642">
        <w:rPr>
          <w:rFonts w:ascii="Times New Roman" w:eastAsia="Times New Roman" w:hAnsi="Times New Roman" w:cs="Times New Roman"/>
          <w:sz w:val="18"/>
          <w:szCs w:val="20"/>
          <w:lang w:eastAsia="es-ES"/>
        </w:rPr>
        <w:t>).</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2. COMUNIDADES AUTONOMAS.</w:t>
      </w:r>
    </w:p>
    <w:p w:rsidR="00622642" w:rsidRPr="00622642" w:rsidRDefault="00622642" w:rsidP="00622642">
      <w:pPr>
        <w:tabs>
          <w:tab w:val="left" w:pos="-2268"/>
          <w:tab w:val="left" w:pos="2520"/>
        </w:tabs>
        <w:spacing w:before="120" w:after="0" w:line="36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C) GALICIA</w:t>
      </w:r>
    </w:p>
    <w:p w:rsidR="00622642" w:rsidRP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w:t>
      </w:r>
      <w:r w:rsidR="00D27A78">
        <w:rPr>
          <w:rFonts w:ascii="Times New Roman" w:eastAsia="Times New Roman" w:hAnsi="Times New Roman" w:cs="Times New Roman"/>
          <w:sz w:val="18"/>
          <w:szCs w:val="20"/>
          <w:lang w:eastAsia="es-ES"/>
        </w:rPr>
        <w:t>Decreto 238/2020, de 29 de diciembre</w:t>
      </w:r>
      <w:r w:rsidRPr="00622642">
        <w:rPr>
          <w:rFonts w:ascii="Times New Roman" w:eastAsia="Times New Roman" w:hAnsi="Times New Roman" w:cs="Times New Roman"/>
          <w:sz w:val="18"/>
          <w:szCs w:val="20"/>
          <w:lang w:eastAsia="es-ES"/>
        </w:rPr>
        <w:t xml:space="preserve">, </w:t>
      </w:r>
      <w:r w:rsidR="00D27A78">
        <w:rPr>
          <w:rFonts w:ascii="Times New Roman" w:eastAsia="Times New Roman" w:hAnsi="Times New Roman" w:cs="Times New Roman"/>
          <w:sz w:val="18"/>
          <w:szCs w:val="20"/>
          <w:lang w:eastAsia="es-ES"/>
        </w:rPr>
        <w:t>por el que se aprueban las Directrices de paisaje de Galicia</w:t>
      </w:r>
      <w:r w:rsidRPr="00622642">
        <w:rPr>
          <w:rFonts w:ascii="Times New Roman" w:eastAsia="Times New Roman" w:hAnsi="Times New Roman" w:cs="Times New Roman"/>
          <w:sz w:val="18"/>
          <w:szCs w:val="20"/>
          <w:lang w:eastAsia="es-ES"/>
        </w:rPr>
        <w:t xml:space="preserve">. (DOG núm. </w:t>
      </w:r>
      <w:r w:rsidR="00D27A78">
        <w:rPr>
          <w:rFonts w:ascii="Times New Roman" w:eastAsia="Times New Roman" w:hAnsi="Times New Roman" w:cs="Times New Roman"/>
          <w:sz w:val="18"/>
          <w:szCs w:val="20"/>
          <w:lang w:eastAsia="es-ES"/>
        </w:rPr>
        <w:t>20</w:t>
      </w:r>
      <w:r w:rsidRPr="00622642">
        <w:rPr>
          <w:rFonts w:ascii="Times New Roman" w:eastAsia="Times New Roman" w:hAnsi="Times New Roman" w:cs="Times New Roman"/>
          <w:sz w:val="18"/>
          <w:szCs w:val="20"/>
          <w:lang w:eastAsia="es-ES"/>
        </w:rPr>
        <w:t xml:space="preserve">, de 1 de </w:t>
      </w:r>
      <w:r w:rsidR="00D27A78">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 xml:space="preserve">) </w:t>
      </w:r>
    </w:p>
    <w:p w:rsid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Ley </w:t>
      </w:r>
      <w:r w:rsidR="00D27A78">
        <w:rPr>
          <w:rFonts w:ascii="Times New Roman" w:eastAsia="Times New Roman" w:hAnsi="Times New Roman" w:cs="Times New Roman"/>
          <w:sz w:val="18"/>
          <w:szCs w:val="20"/>
          <w:lang w:eastAsia="es-ES"/>
        </w:rPr>
        <w:t>6</w:t>
      </w:r>
      <w:r w:rsidRPr="00622642">
        <w:rPr>
          <w:rFonts w:ascii="Times New Roman" w:eastAsia="Times New Roman" w:hAnsi="Times New Roman" w:cs="Times New Roman"/>
          <w:sz w:val="18"/>
          <w:szCs w:val="20"/>
          <w:lang w:eastAsia="es-ES"/>
        </w:rPr>
        <w:t xml:space="preserve">/2021, de </w:t>
      </w:r>
      <w:r w:rsidR="00D27A78">
        <w:rPr>
          <w:rFonts w:ascii="Times New Roman" w:eastAsia="Times New Roman" w:hAnsi="Times New Roman" w:cs="Times New Roman"/>
          <w:sz w:val="18"/>
          <w:szCs w:val="20"/>
          <w:lang w:eastAsia="es-ES"/>
        </w:rPr>
        <w:t>17</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residuos y suelos contaminados de Galicia</w:t>
      </w:r>
      <w:r w:rsidRPr="00622642">
        <w:rPr>
          <w:rFonts w:ascii="Times New Roman" w:eastAsia="Times New Roman" w:hAnsi="Times New Roman" w:cs="Times New Roman"/>
          <w:sz w:val="18"/>
          <w:szCs w:val="20"/>
          <w:lang w:eastAsia="es-ES"/>
        </w:rPr>
        <w:t xml:space="preserve">. (DOG núm. </w:t>
      </w:r>
      <w:r w:rsidR="00D27A78">
        <w:rPr>
          <w:rFonts w:ascii="Times New Roman" w:eastAsia="Times New Roman" w:hAnsi="Times New Roman" w:cs="Times New Roman"/>
          <w:sz w:val="18"/>
          <w:szCs w:val="20"/>
          <w:lang w:eastAsia="es-ES"/>
        </w:rPr>
        <w:t>38</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25</w:t>
      </w:r>
      <w:r w:rsidRPr="00622642">
        <w:rPr>
          <w:rFonts w:ascii="Times New Roman" w:eastAsia="Times New Roman" w:hAnsi="Times New Roman" w:cs="Times New Roman"/>
          <w:sz w:val="18"/>
          <w:szCs w:val="20"/>
          <w:lang w:eastAsia="es-ES"/>
        </w:rPr>
        <w:t xml:space="preserve"> de </w:t>
      </w:r>
      <w:r w:rsidR="00D27A78">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w:t>
      </w:r>
    </w:p>
    <w:p w:rsidR="00D27A78" w:rsidRPr="00622642" w:rsidRDefault="00D27A78" w:rsidP="00D27A78">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Ley </w:t>
      </w:r>
      <w:r>
        <w:rPr>
          <w:rFonts w:ascii="Times New Roman" w:eastAsia="Times New Roman" w:hAnsi="Times New Roman" w:cs="Times New Roman"/>
          <w:sz w:val="18"/>
          <w:szCs w:val="20"/>
          <w:lang w:eastAsia="es-ES"/>
        </w:rPr>
        <w:t>9</w:t>
      </w:r>
      <w:r w:rsidRPr="00622642">
        <w:rPr>
          <w:rFonts w:ascii="Times New Roman" w:eastAsia="Times New Roman" w:hAnsi="Times New Roman" w:cs="Times New Roman"/>
          <w:sz w:val="18"/>
          <w:szCs w:val="20"/>
          <w:lang w:eastAsia="es-ES"/>
        </w:rPr>
        <w:t xml:space="preserve">/2021, de </w:t>
      </w:r>
      <w:r>
        <w:rPr>
          <w:rFonts w:ascii="Times New Roman" w:eastAsia="Times New Roman" w:hAnsi="Times New Roman" w:cs="Times New Roman"/>
          <w:sz w:val="18"/>
          <w:szCs w:val="20"/>
          <w:lang w:eastAsia="es-ES"/>
        </w:rPr>
        <w:t>25</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simplificación administrativa y de apoyo a la reactivación económica de Galicia</w:t>
      </w:r>
      <w:r w:rsidRPr="00622642">
        <w:rPr>
          <w:rFonts w:ascii="Times New Roman" w:eastAsia="Times New Roman" w:hAnsi="Times New Roman" w:cs="Times New Roman"/>
          <w:sz w:val="18"/>
          <w:szCs w:val="20"/>
          <w:lang w:eastAsia="es-ES"/>
        </w:rPr>
        <w:t xml:space="preserve">. (DOG núm. </w:t>
      </w:r>
      <w:r>
        <w:rPr>
          <w:rFonts w:ascii="Times New Roman" w:eastAsia="Times New Roman" w:hAnsi="Times New Roman" w:cs="Times New Roman"/>
          <w:sz w:val="18"/>
          <w:szCs w:val="20"/>
          <w:lang w:eastAsia="es-ES"/>
        </w:rPr>
        <w:t>39</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26</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febrero, corrección de errores DOG núm. 51, de 16 de marzo</w:t>
      </w:r>
      <w:r w:rsidRPr="00622642">
        <w:rPr>
          <w:rFonts w:ascii="Times New Roman" w:eastAsia="Times New Roman" w:hAnsi="Times New Roman" w:cs="Times New Roman"/>
          <w:sz w:val="18"/>
          <w:szCs w:val="20"/>
          <w:lang w:eastAsia="es-ES"/>
        </w:rPr>
        <w:t>).</w:t>
      </w:r>
    </w:p>
    <w:p w:rsidR="001545A4" w:rsidRPr="00622642" w:rsidRDefault="001545A4" w:rsidP="001545A4">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Decreto 61/2021, de 8 de abril</w:t>
      </w:r>
      <w:r w:rsidRPr="00622642">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por el que se regula el informe de evaluación de los edificios y se crea el Registro Gallego de Informes de Evaluación de Edificios</w:t>
      </w:r>
      <w:r w:rsidRPr="00622642">
        <w:rPr>
          <w:rFonts w:ascii="Times New Roman" w:eastAsia="Times New Roman" w:hAnsi="Times New Roman" w:cs="Times New Roman"/>
          <w:sz w:val="18"/>
          <w:szCs w:val="20"/>
          <w:lang w:eastAsia="es-ES"/>
        </w:rPr>
        <w:t xml:space="preserve">. (DOG núm. </w:t>
      </w:r>
      <w:r>
        <w:rPr>
          <w:rFonts w:ascii="Times New Roman" w:eastAsia="Times New Roman" w:hAnsi="Times New Roman" w:cs="Times New Roman"/>
          <w:sz w:val="18"/>
          <w:szCs w:val="20"/>
          <w:lang w:eastAsia="es-ES"/>
        </w:rPr>
        <w:t>73</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20</w:t>
      </w:r>
      <w:r w:rsidRPr="00622642">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abril</w:t>
      </w:r>
      <w:r w:rsidRPr="00622642">
        <w:rPr>
          <w:rFonts w:ascii="Times New Roman" w:eastAsia="Times New Roman" w:hAnsi="Times New Roman" w:cs="Times New Roman"/>
          <w:sz w:val="18"/>
          <w:szCs w:val="20"/>
          <w:lang w:eastAsia="es-ES"/>
        </w:rPr>
        <w:t xml:space="preserve">) </w:t>
      </w:r>
    </w:p>
    <w:p w:rsidR="001E3178" w:rsidRPr="00622642" w:rsidRDefault="001E3178" w:rsidP="001E3178">
      <w:pPr>
        <w:tabs>
          <w:tab w:val="left" w:pos="-2268"/>
          <w:tab w:val="left" w:pos="2520"/>
        </w:tabs>
        <w:spacing w:before="120" w:after="0" w:line="36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J</w:t>
      </w:r>
      <w:r w:rsidRPr="00622642">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ARAGÓN</w:t>
      </w:r>
    </w:p>
    <w:p w:rsidR="001E3178" w:rsidRPr="001E3178" w:rsidRDefault="001E3178" w:rsidP="001E3178">
      <w:pPr>
        <w:spacing w:after="0" w:line="24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 xml:space="preserve">- </w:t>
      </w:r>
      <w:r w:rsidRPr="001E3178">
        <w:rPr>
          <w:rFonts w:ascii="Times New Roman" w:eastAsia="Times New Roman" w:hAnsi="Times New Roman" w:cs="Times New Roman"/>
          <w:sz w:val="18"/>
          <w:szCs w:val="20"/>
          <w:lang w:eastAsia="es-ES"/>
        </w:rPr>
        <w:t>Ley 1/2021, de 11 de febrero, d</w:t>
      </w:r>
      <w:r>
        <w:rPr>
          <w:rFonts w:ascii="Times New Roman" w:eastAsia="Times New Roman" w:hAnsi="Times New Roman" w:cs="Times New Roman"/>
          <w:sz w:val="18"/>
          <w:szCs w:val="20"/>
          <w:lang w:eastAsia="es-ES"/>
        </w:rPr>
        <w:t>e simplificación administrativa, (BOA núm. 39, de 23 de febrero)</w:t>
      </w:r>
    </w:p>
    <w:p w:rsidR="00622642" w:rsidRPr="00622642" w:rsidRDefault="00622642" w:rsidP="00622642">
      <w:pPr>
        <w:tabs>
          <w:tab w:val="left" w:pos="-2268"/>
        </w:tabs>
        <w:spacing w:before="120" w:after="0" w:line="360" w:lineRule="auto"/>
        <w:ind w:firstLine="709"/>
        <w:jc w:val="both"/>
        <w:rPr>
          <w:rFonts w:ascii="Times New Roman" w:eastAsia="Times New Roman" w:hAnsi="Times New Roman" w:cs="Times New Roman"/>
          <w:sz w:val="18"/>
          <w:szCs w:val="20"/>
          <w:u w:val="single"/>
          <w:lang w:eastAsia="es-ES"/>
        </w:rPr>
      </w:pPr>
      <w:r w:rsidRPr="00622642">
        <w:rPr>
          <w:rFonts w:ascii="Times New Roman" w:eastAsia="Times New Roman" w:hAnsi="Times New Roman" w:cs="Times New Roman"/>
          <w:sz w:val="18"/>
          <w:szCs w:val="20"/>
          <w:u w:val="single"/>
          <w:lang w:eastAsia="es-ES"/>
        </w:rPr>
        <w:t>OTRAS COMUNIDADES AUTÓNOMAS:</w:t>
      </w:r>
    </w:p>
    <w:p w:rsidR="00622642" w:rsidRPr="00622642" w:rsidRDefault="00032AB9" w:rsidP="00622642">
      <w:pPr>
        <w:tabs>
          <w:tab w:val="left" w:pos="-2268"/>
        </w:tabs>
        <w:spacing w:before="120" w:after="0" w:line="36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G</w:t>
      </w:r>
      <w:r w:rsidR="00622642" w:rsidRPr="00622642">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LA RIOJA</w:t>
      </w:r>
    </w:p>
    <w:p w:rsidR="00622642" w:rsidRP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Ley 2/202</w:t>
      </w:r>
      <w:r w:rsidR="00032AB9">
        <w:rPr>
          <w:rFonts w:ascii="Times New Roman" w:eastAsia="Times New Roman" w:hAnsi="Times New Roman" w:cs="Times New Roman"/>
          <w:sz w:val="18"/>
          <w:szCs w:val="20"/>
          <w:lang w:eastAsia="es-ES"/>
        </w:rPr>
        <w:t>1</w:t>
      </w:r>
      <w:r w:rsidRPr="00622642">
        <w:rPr>
          <w:rFonts w:ascii="Times New Roman" w:eastAsia="Times New Roman" w:hAnsi="Times New Roman" w:cs="Times New Roman"/>
          <w:sz w:val="18"/>
          <w:szCs w:val="20"/>
          <w:lang w:eastAsia="es-ES"/>
        </w:rPr>
        <w:t>, de 2</w:t>
      </w:r>
      <w:r w:rsidR="00032AB9">
        <w:rPr>
          <w:rFonts w:ascii="Times New Roman" w:eastAsia="Times New Roman" w:hAnsi="Times New Roman" w:cs="Times New Roman"/>
          <w:sz w:val="18"/>
          <w:szCs w:val="20"/>
          <w:lang w:eastAsia="es-ES"/>
        </w:rPr>
        <w:t>9 de enero</w:t>
      </w:r>
      <w:r w:rsidRPr="00622642">
        <w:rPr>
          <w:rFonts w:ascii="Times New Roman" w:eastAsia="Times New Roman" w:hAnsi="Times New Roman" w:cs="Times New Roman"/>
          <w:sz w:val="18"/>
          <w:szCs w:val="20"/>
          <w:lang w:eastAsia="es-ES"/>
        </w:rPr>
        <w:t>, de medidas fiscales y administrativas</w:t>
      </w:r>
      <w:r w:rsidR="00032AB9">
        <w:rPr>
          <w:rFonts w:ascii="Times New Roman" w:eastAsia="Times New Roman" w:hAnsi="Times New Roman" w:cs="Times New Roman"/>
          <w:sz w:val="18"/>
          <w:szCs w:val="20"/>
          <w:lang w:eastAsia="es-ES"/>
        </w:rPr>
        <w:t xml:space="preserve"> para el año 2021</w:t>
      </w:r>
      <w:r w:rsidRPr="00622642">
        <w:rPr>
          <w:rFonts w:ascii="Times New Roman" w:eastAsia="Times New Roman" w:hAnsi="Times New Roman" w:cs="Times New Roman"/>
          <w:sz w:val="18"/>
          <w:szCs w:val="20"/>
          <w:lang w:eastAsia="es-ES"/>
        </w:rPr>
        <w:t>. (BO</w:t>
      </w:r>
      <w:r w:rsidR="00032AB9">
        <w:rPr>
          <w:rFonts w:ascii="Times New Roman" w:eastAsia="Times New Roman" w:hAnsi="Times New Roman" w:cs="Times New Roman"/>
          <w:sz w:val="18"/>
          <w:szCs w:val="20"/>
          <w:lang w:eastAsia="es-ES"/>
        </w:rPr>
        <w:t xml:space="preserve">R núm. </w:t>
      </w:r>
      <w:r w:rsidRPr="00622642">
        <w:rPr>
          <w:rFonts w:ascii="Times New Roman" w:eastAsia="Times New Roman" w:hAnsi="Times New Roman" w:cs="Times New Roman"/>
          <w:sz w:val="18"/>
          <w:szCs w:val="20"/>
          <w:lang w:eastAsia="es-ES"/>
        </w:rPr>
        <w:t xml:space="preserve">22, de </w:t>
      </w:r>
      <w:r w:rsidR="00032AB9">
        <w:rPr>
          <w:rFonts w:ascii="Times New Roman" w:eastAsia="Times New Roman" w:hAnsi="Times New Roman" w:cs="Times New Roman"/>
          <w:sz w:val="18"/>
          <w:szCs w:val="20"/>
          <w:lang w:eastAsia="es-ES"/>
        </w:rPr>
        <w:t>1</w:t>
      </w:r>
      <w:r w:rsidRPr="00622642">
        <w:rPr>
          <w:rFonts w:ascii="Times New Roman" w:eastAsia="Times New Roman" w:hAnsi="Times New Roman" w:cs="Times New Roman"/>
          <w:sz w:val="18"/>
          <w:szCs w:val="20"/>
          <w:lang w:eastAsia="es-ES"/>
        </w:rPr>
        <w:t xml:space="preserve"> de </w:t>
      </w:r>
      <w:r w:rsidR="00032AB9">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w:t>
      </w:r>
    </w:p>
    <w:p w:rsidR="00622642" w:rsidRPr="00622642" w:rsidRDefault="00622642" w:rsidP="00622642">
      <w:pPr>
        <w:tabs>
          <w:tab w:val="left" w:pos="-2268"/>
        </w:tabs>
        <w:spacing w:before="120" w:after="0" w:line="36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I) COMUNIDAD VALENCIANA</w:t>
      </w:r>
    </w:p>
    <w:p w:rsid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w:t>
      </w:r>
      <w:r w:rsidR="00032AB9">
        <w:rPr>
          <w:rFonts w:ascii="Times New Roman" w:eastAsia="Times New Roman" w:hAnsi="Times New Roman" w:cs="Times New Roman"/>
          <w:sz w:val="18"/>
          <w:szCs w:val="20"/>
          <w:lang w:eastAsia="es-ES"/>
        </w:rPr>
        <w:t>Decreto 1</w:t>
      </w:r>
      <w:r w:rsidR="00C6488D">
        <w:rPr>
          <w:rFonts w:ascii="Times New Roman" w:eastAsia="Times New Roman" w:hAnsi="Times New Roman" w:cs="Times New Roman"/>
          <w:sz w:val="18"/>
          <w:szCs w:val="20"/>
          <w:lang w:eastAsia="es-ES"/>
        </w:rPr>
        <w:t>2</w:t>
      </w:r>
      <w:r w:rsidRPr="00622642">
        <w:rPr>
          <w:rFonts w:ascii="Times New Roman" w:eastAsia="Times New Roman" w:hAnsi="Times New Roman" w:cs="Times New Roman"/>
          <w:sz w:val="18"/>
          <w:szCs w:val="20"/>
          <w:lang w:eastAsia="es-ES"/>
        </w:rPr>
        <w:t>/202</w:t>
      </w:r>
      <w:r w:rsidR="00032AB9">
        <w:rPr>
          <w:rFonts w:ascii="Times New Roman" w:eastAsia="Times New Roman" w:hAnsi="Times New Roman" w:cs="Times New Roman"/>
          <w:sz w:val="18"/>
          <w:szCs w:val="20"/>
          <w:lang w:eastAsia="es-ES"/>
        </w:rPr>
        <w:t>1</w:t>
      </w:r>
      <w:r w:rsidRPr="00622642">
        <w:rPr>
          <w:rFonts w:ascii="Times New Roman" w:eastAsia="Times New Roman" w:hAnsi="Times New Roman" w:cs="Times New Roman"/>
          <w:sz w:val="18"/>
          <w:szCs w:val="20"/>
          <w:lang w:eastAsia="es-ES"/>
        </w:rPr>
        <w:t xml:space="preserve">, de </w:t>
      </w:r>
      <w:r w:rsidR="00C6488D">
        <w:rPr>
          <w:rFonts w:ascii="Times New Roman" w:eastAsia="Times New Roman" w:hAnsi="Times New Roman" w:cs="Times New Roman"/>
          <w:sz w:val="18"/>
          <w:szCs w:val="20"/>
          <w:lang w:eastAsia="es-ES"/>
        </w:rPr>
        <w:t>22</w:t>
      </w:r>
      <w:r w:rsidRPr="00622642">
        <w:rPr>
          <w:rFonts w:ascii="Times New Roman" w:eastAsia="Times New Roman" w:hAnsi="Times New Roman" w:cs="Times New Roman"/>
          <w:sz w:val="18"/>
          <w:szCs w:val="20"/>
          <w:lang w:eastAsia="es-ES"/>
        </w:rPr>
        <w:t xml:space="preserve"> de </w:t>
      </w:r>
      <w:r w:rsidR="00C6488D">
        <w:rPr>
          <w:rFonts w:ascii="Times New Roman" w:eastAsia="Times New Roman" w:hAnsi="Times New Roman" w:cs="Times New Roman"/>
          <w:sz w:val="18"/>
          <w:szCs w:val="20"/>
          <w:lang w:eastAsia="es-ES"/>
        </w:rPr>
        <w:t>enero</w:t>
      </w:r>
      <w:r w:rsidR="00032AB9">
        <w:rPr>
          <w:rFonts w:ascii="Times New Roman" w:eastAsia="Times New Roman" w:hAnsi="Times New Roman" w:cs="Times New Roman"/>
          <w:sz w:val="18"/>
          <w:szCs w:val="20"/>
          <w:lang w:eastAsia="es-ES"/>
        </w:rPr>
        <w:t xml:space="preserve">, del Consell, de </w:t>
      </w:r>
      <w:r w:rsidR="00C6488D">
        <w:rPr>
          <w:rFonts w:ascii="Times New Roman" w:eastAsia="Times New Roman" w:hAnsi="Times New Roman" w:cs="Times New Roman"/>
          <w:sz w:val="18"/>
          <w:szCs w:val="20"/>
          <w:lang w:eastAsia="es-ES"/>
        </w:rPr>
        <w:t>regulación de la declaración responsable para la primera ocupación y sucesivas de viviendas</w:t>
      </w:r>
      <w:r w:rsidRPr="00622642">
        <w:rPr>
          <w:rFonts w:ascii="Times New Roman" w:eastAsia="Times New Roman" w:hAnsi="Times New Roman" w:cs="Times New Roman"/>
          <w:sz w:val="18"/>
          <w:szCs w:val="20"/>
          <w:lang w:eastAsia="es-ES"/>
        </w:rPr>
        <w:t xml:space="preserve">. (DOGV núm. </w:t>
      </w:r>
      <w:r w:rsidR="00C6488D">
        <w:rPr>
          <w:rFonts w:ascii="Times New Roman" w:eastAsia="Times New Roman" w:hAnsi="Times New Roman" w:cs="Times New Roman"/>
          <w:sz w:val="18"/>
          <w:szCs w:val="20"/>
          <w:lang w:eastAsia="es-ES"/>
        </w:rPr>
        <w:t>9012</w:t>
      </w:r>
      <w:r w:rsidRPr="00622642">
        <w:rPr>
          <w:rFonts w:ascii="Times New Roman" w:eastAsia="Times New Roman" w:hAnsi="Times New Roman" w:cs="Times New Roman"/>
          <w:sz w:val="18"/>
          <w:szCs w:val="20"/>
          <w:lang w:eastAsia="es-ES"/>
        </w:rPr>
        <w:t xml:space="preserve">, de </w:t>
      </w:r>
      <w:r w:rsidR="00C6488D">
        <w:rPr>
          <w:rFonts w:ascii="Times New Roman" w:eastAsia="Times New Roman" w:hAnsi="Times New Roman" w:cs="Times New Roman"/>
          <w:sz w:val="18"/>
          <w:szCs w:val="20"/>
          <w:lang w:eastAsia="es-ES"/>
        </w:rPr>
        <w:t>3</w:t>
      </w:r>
      <w:r w:rsidRPr="00622642">
        <w:rPr>
          <w:rFonts w:ascii="Times New Roman" w:eastAsia="Times New Roman" w:hAnsi="Times New Roman" w:cs="Times New Roman"/>
          <w:sz w:val="18"/>
          <w:szCs w:val="20"/>
          <w:lang w:eastAsia="es-ES"/>
        </w:rPr>
        <w:t xml:space="preserve"> de </w:t>
      </w:r>
      <w:r w:rsidR="00C6488D">
        <w:rPr>
          <w:rFonts w:ascii="Times New Roman" w:eastAsia="Times New Roman" w:hAnsi="Times New Roman" w:cs="Times New Roman"/>
          <w:sz w:val="18"/>
          <w:szCs w:val="20"/>
          <w:lang w:eastAsia="es-ES"/>
        </w:rPr>
        <w:t>febrero</w:t>
      </w:r>
      <w:r w:rsidRPr="00622642">
        <w:rPr>
          <w:rFonts w:ascii="Times New Roman" w:eastAsia="Times New Roman" w:hAnsi="Times New Roman" w:cs="Times New Roman"/>
          <w:sz w:val="18"/>
          <w:szCs w:val="20"/>
          <w:lang w:eastAsia="es-ES"/>
        </w:rPr>
        <w:t>).</w:t>
      </w:r>
    </w:p>
    <w:p w:rsidR="00B429FC" w:rsidRPr="00B429FC" w:rsidRDefault="00B429FC" w:rsidP="00B429FC">
      <w:pPr>
        <w:spacing w:before="240" w:after="0" w:line="360" w:lineRule="auto"/>
        <w:ind w:firstLine="709"/>
        <w:jc w:val="both"/>
        <w:rPr>
          <w:rFonts w:ascii="Times New Roman" w:eastAsia="Times New Roman" w:hAnsi="Times New Roman" w:cs="Times New Roman"/>
          <w:sz w:val="18"/>
          <w:szCs w:val="20"/>
          <w:lang w:eastAsia="es-ES"/>
        </w:rPr>
      </w:pPr>
      <w:r w:rsidRPr="00B429FC">
        <w:rPr>
          <w:rFonts w:ascii="Times New Roman" w:eastAsia="Times New Roman" w:hAnsi="Times New Roman" w:cs="Times New Roman"/>
          <w:sz w:val="18"/>
          <w:szCs w:val="20"/>
          <w:lang w:eastAsia="es-ES"/>
        </w:rPr>
        <w:t>K) CASTILLA-LA MANCHA</w:t>
      </w:r>
    </w:p>
    <w:p w:rsidR="00B429FC" w:rsidRDefault="00B429FC" w:rsidP="00B429FC">
      <w:pPr>
        <w:spacing w:after="0" w:line="240" w:lineRule="auto"/>
        <w:ind w:firstLine="709"/>
        <w:jc w:val="both"/>
        <w:rPr>
          <w:rFonts w:ascii="Times New Roman" w:eastAsia="Times New Roman" w:hAnsi="Times New Roman" w:cs="Times New Roman"/>
          <w:sz w:val="18"/>
          <w:szCs w:val="20"/>
          <w:lang w:eastAsia="es-ES"/>
        </w:rPr>
      </w:pPr>
      <w:r w:rsidRPr="00B429FC">
        <w:rPr>
          <w:rFonts w:ascii="Times New Roman" w:eastAsia="Times New Roman" w:hAnsi="Times New Roman" w:cs="Times New Roman"/>
          <w:sz w:val="18"/>
          <w:szCs w:val="20"/>
          <w:lang w:eastAsia="es-ES"/>
        </w:rPr>
        <w:t>- Ley 1/2021, de 12 de febrero, de Simplificación Urbanística y Medida</w:t>
      </w:r>
      <w:r>
        <w:rPr>
          <w:rFonts w:ascii="Times New Roman" w:eastAsia="Times New Roman" w:hAnsi="Times New Roman" w:cs="Times New Roman"/>
          <w:sz w:val="18"/>
          <w:szCs w:val="20"/>
          <w:lang w:eastAsia="es-ES"/>
        </w:rPr>
        <w:t xml:space="preserve">s Administrativas. (DOCLM núm. </w:t>
      </w:r>
      <w:r w:rsidRPr="00B429FC">
        <w:rPr>
          <w:rFonts w:ascii="Times New Roman" w:eastAsia="Times New Roman" w:hAnsi="Times New Roman" w:cs="Times New Roman"/>
          <w:sz w:val="18"/>
          <w:szCs w:val="20"/>
          <w:lang w:eastAsia="es-ES"/>
        </w:rPr>
        <w:t>38 de 25 de febrero).</w:t>
      </w:r>
    </w:p>
    <w:p w:rsidR="00622642" w:rsidRPr="00622642" w:rsidRDefault="00622642" w:rsidP="00622642">
      <w:pPr>
        <w:spacing w:before="240" w:after="0" w:line="36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M) COMUNIDAD FORAL DE NAVARRA</w:t>
      </w:r>
    </w:p>
    <w:p w:rsidR="00622642" w:rsidRPr="00622642" w:rsidRDefault="00622642" w:rsidP="00622642">
      <w:pPr>
        <w:spacing w:after="0" w:line="240" w:lineRule="auto"/>
        <w:ind w:firstLine="709"/>
        <w:jc w:val="both"/>
        <w:rPr>
          <w:rFonts w:ascii="Times New Roman" w:eastAsia="Times New Roman" w:hAnsi="Times New Roman" w:cs="Times New Roman"/>
          <w:sz w:val="18"/>
          <w:szCs w:val="20"/>
          <w:lang w:eastAsia="es-ES"/>
        </w:rPr>
      </w:pPr>
      <w:r w:rsidRPr="00622642">
        <w:rPr>
          <w:rFonts w:ascii="Times New Roman" w:eastAsia="Times New Roman" w:hAnsi="Times New Roman" w:cs="Times New Roman"/>
          <w:sz w:val="18"/>
          <w:szCs w:val="20"/>
          <w:lang w:eastAsia="es-ES"/>
        </w:rPr>
        <w:t xml:space="preserve">- Ley Foral </w:t>
      </w:r>
      <w:r w:rsidR="008E0D50">
        <w:rPr>
          <w:rFonts w:ascii="Times New Roman" w:eastAsia="Times New Roman" w:hAnsi="Times New Roman" w:cs="Times New Roman"/>
          <w:sz w:val="18"/>
          <w:szCs w:val="20"/>
          <w:lang w:eastAsia="es-ES"/>
        </w:rPr>
        <w:t>4</w:t>
      </w:r>
      <w:r w:rsidRPr="00622642">
        <w:rPr>
          <w:rFonts w:ascii="Times New Roman" w:eastAsia="Times New Roman" w:hAnsi="Times New Roman" w:cs="Times New Roman"/>
          <w:sz w:val="18"/>
          <w:szCs w:val="20"/>
          <w:lang w:eastAsia="es-ES"/>
        </w:rPr>
        <w:t>/202</w:t>
      </w:r>
      <w:r w:rsidR="008E0D50">
        <w:rPr>
          <w:rFonts w:ascii="Times New Roman" w:eastAsia="Times New Roman" w:hAnsi="Times New Roman" w:cs="Times New Roman"/>
          <w:sz w:val="18"/>
          <w:szCs w:val="20"/>
          <w:lang w:eastAsia="es-ES"/>
        </w:rPr>
        <w:t>1</w:t>
      </w:r>
      <w:r w:rsidRPr="00622642">
        <w:rPr>
          <w:rFonts w:ascii="Times New Roman" w:eastAsia="Times New Roman" w:hAnsi="Times New Roman" w:cs="Times New Roman"/>
          <w:sz w:val="18"/>
          <w:szCs w:val="20"/>
          <w:lang w:eastAsia="es-ES"/>
        </w:rPr>
        <w:t xml:space="preserve">, de </w:t>
      </w:r>
      <w:r w:rsidR="008E0D50">
        <w:rPr>
          <w:rFonts w:ascii="Times New Roman" w:eastAsia="Times New Roman" w:hAnsi="Times New Roman" w:cs="Times New Roman"/>
          <w:sz w:val="18"/>
          <w:szCs w:val="20"/>
          <w:lang w:eastAsia="es-ES"/>
        </w:rPr>
        <w:t>22</w:t>
      </w:r>
      <w:r w:rsidRPr="00622642">
        <w:rPr>
          <w:rFonts w:ascii="Times New Roman" w:eastAsia="Times New Roman" w:hAnsi="Times New Roman" w:cs="Times New Roman"/>
          <w:sz w:val="18"/>
          <w:szCs w:val="20"/>
          <w:lang w:eastAsia="es-ES"/>
        </w:rPr>
        <w:t xml:space="preserve"> de </w:t>
      </w:r>
      <w:r w:rsidR="008E0D50">
        <w:rPr>
          <w:rFonts w:ascii="Times New Roman" w:eastAsia="Times New Roman" w:hAnsi="Times New Roman" w:cs="Times New Roman"/>
          <w:sz w:val="18"/>
          <w:szCs w:val="20"/>
          <w:lang w:eastAsia="es-ES"/>
        </w:rPr>
        <w:t>abril</w:t>
      </w:r>
      <w:r w:rsidRPr="00622642">
        <w:rPr>
          <w:rFonts w:ascii="Times New Roman" w:eastAsia="Times New Roman" w:hAnsi="Times New Roman" w:cs="Times New Roman"/>
          <w:sz w:val="18"/>
          <w:szCs w:val="20"/>
          <w:lang w:eastAsia="es-ES"/>
        </w:rPr>
        <w:t>,</w:t>
      </w:r>
      <w:r w:rsidR="008E0D50">
        <w:rPr>
          <w:rFonts w:ascii="Times New Roman" w:eastAsia="Times New Roman" w:hAnsi="Times New Roman" w:cs="Times New Roman"/>
          <w:sz w:val="18"/>
          <w:szCs w:val="20"/>
          <w:lang w:eastAsia="es-ES"/>
        </w:rPr>
        <w:t xml:space="preserve"> para la modificación del artículo 192 del Texto Refundido de la Ley Foral de Ordenación del Territorio y Urbanismo aprobado mediante Decreto Foral Legislativo 1/2017, de 26 de julio.</w:t>
      </w:r>
      <w:r w:rsidRPr="00622642">
        <w:rPr>
          <w:rFonts w:ascii="Times New Roman" w:eastAsia="Times New Roman" w:hAnsi="Times New Roman" w:cs="Times New Roman"/>
          <w:sz w:val="18"/>
          <w:szCs w:val="20"/>
          <w:lang w:eastAsia="es-ES"/>
        </w:rPr>
        <w:t xml:space="preserve"> (BON núm. </w:t>
      </w:r>
      <w:r w:rsidR="008E0D50">
        <w:rPr>
          <w:rFonts w:ascii="Times New Roman" w:eastAsia="Times New Roman" w:hAnsi="Times New Roman" w:cs="Times New Roman"/>
          <w:sz w:val="18"/>
          <w:szCs w:val="20"/>
          <w:lang w:eastAsia="es-ES"/>
        </w:rPr>
        <w:t>96</w:t>
      </w:r>
      <w:r w:rsidRPr="00622642">
        <w:rPr>
          <w:rFonts w:ascii="Times New Roman" w:eastAsia="Times New Roman" w:hAnsi="Times New Roman" w:cs="Times New Roman"/>
          <w:sz w:val="18"/>
          <w:szCs w:val="20"/>
          <w:lang w:eastAsia="es-ES"/>
        </w:rPr>
        <w:t xml:space="preserve">, de </w:t>
      </w:r>
      <w:r w:rsidR="008E0D50">
        <w:rPr>
          <w:rFonts w:ascii="Times New Roman" w:eastAsia="Times New Roman" w:hAnsi="Times New Roman" w:cs="Times New Roman"/>
          <w:sz w:val="18"/>
          <w:szCs w:val="20"/>
          <w:lang w:eastAsia="es-ES"/>
        </w:rPr>
        <w:t>28</w:t>
      </w:r>
      <w:r w:rsidRPr="00622642">
        <w:rPr>
          <w:rFonts w:ascii="Times New Roman" w:eastAsia="Times New Roman" w:hAnsi="Times New Roman" w:cs="Times New Roman"/>
          <w:sz w:val="18"/>
          <w:szCs w:val="20"/>
          <w:lang w:eastAsia="es-ES"/>
        </w:rPr>
        <w:t xml:space="preserve"> de </w:t>
      </w:r>
      <w:r w:rsidR="008E0D50">
        <w:rPr>
          <w:rFonts w:ascii="Times New Roman" w:eastAsia="Times New Roman" w:hAnsi="Times New Roman" w:cs="Times New Roman"/>
          <w:sz w:val="18"/>
          <w:szCs w:val="20"/>
          <w:lang w:eastAsia="es-ES"/>
        </w:rPr>
        <w:t>abril</w:t>
      </w:r>
      <w:r w:rsidRPr="00622642">
        <w:rPr>
          <w:rFonts w:ascii="Times New Roman" w:eastAsia="Times New Roman" w:hAnsi="Times New Roman" w:cs="Times New Roman"/>
          <w:sz w:val="18"/>
          <w:szCs w:val="20"/>
          <w:lang w:eastAsia="es-ES"/>
        </w:rPr>
        <w:t>).</w:t>
      </w:r>
    </w:p>
    <w:p w:rsidR="00B7548E" w:rsidRPr="00B7548E" w:rsidRDefault="00B7548E" w:rsidP="00B7548E">
      <w:pPr>
        <w:spacing w:before="240" w:after="0" w:line="360" w:lineRule="auto"/>
        <w:ind w:firstLine="709"/>
        <w:jc w:val="both"/>
        <w:rPr>
          <w:rFonts w:ascii="Times New Roman" w:eastAsia="Times New Roman" w:hAnsi="Times New Roman" w:cs="Times New Roman"/>
          <w:sz w:val="18"/>
          <w:szCs w:val="20"/>
          <w:lang w:eastAsia="es-ES"/>
        </w:rPr>
      </w:pPr>
      <w:r w:rsidRPr="00B7548E">
        <w:rPr>
          <w:rFonts w:ascii="Times New Roman" w:eastAsia="Times New Roman" w:hAnsi="Times New Roman" w:cs="Times New Roman"/>
          <w:sz w:val="18"/>
          <w:szCs w:val="20"/>
          <w:lang w:eastAsia="es-ES"/>
        </w:rPr>
        <w:t>P) COMUNIDAD DE MADRID</w:t>
      </w:r>
    </w:p>
    <w:p w:rsidR="00B7548E" w:rsidRDefault="00B7548E" w:rsidP="00B7548E">
      <w:pPr>
        <w:spacing w:after="0" w:line="240" w:lineRule="auto"/>
        <w:ind w:firstLine="709"/>
        <w:jc w:val="both"/>
        <w:rPr>
          <w:rFonts w:ascii="Times New Roman" w:eastAsia="Times New Roman" w:hAnsi="Times New Roman" w:cs="Times New Roman"/>
          <w:sz w:val="18"/>
          <w:szCs w:val="20"/>
          <w:lang w:eastAsia="es-ES"/>
        </w:rPr>
      </w:pPr>
      <w:r w:rsidRPr="00B7548E">
        <w:rPr>
          <w:rFonts w:ascii="Times New Roman" w:eastAsia="Times New Roman" w:hAnsi="Times New Roman" w:cs="Times New Roman"/>
          <w:sz w:val="18"/>
          <w:szCs w:val="20"/>
          <w:lang w:eastAsia="es-ES"/>
        </w:rPr>
        <w:t>- Decreto 7/2021, de 27 de enero, del Consejo de Gobierno, por el que se aprueba el Reglamento de Vías pecuarias de la Comunidad de Madrid. (BOCM núm. 26, de 1 de febrero).</w:t>
      </w:r>
    </w:p>
    <w:p w:rsidR="00B7548E" w:rsidRDefault="00B7548E" w:rsidP="00B7548E">
      <w:pPr>
        <w:spacing w:before="240" w:after="0" w:line="36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Q</w:t>
      </w:r>
      <w:r w:rsidRPr="00B7548E">
        <w:rPr>
          <w:rFonts w:ascii="Times New Roman" w:eastAsia="Times New Roman" w:hAnsi="Times New Roman" w:cs="Times New Roman"/>
          <w:sz w:val="18"/>
          <w:szCs w:val="20"/>
          <w:lang w:eastAsia="es-ES"/>
        </w:rPr>
        <w:t>) C</w:t>
      </w:r>
      <w:r>
        <w:rPr>
          <w:rFonts w:ascii="Times New Roman" w:eastAsia="Times New Roman" w:hAnsi="Times New Roman" w:cs="Times New Roman"/>
          <w:sz w:val="18"/>
          <w:szCs w:val="20"/>
          <w:lang w:eastAsia="es-ES"/>
        </w:rPr>
        <w:t>ASTILLA Y LEÓN</w:t>
      </w:r>
    </w:p>
    <w:p w:rsidR="00A35D1D" w:rsidRDefault="00A35D1D" w:rsidP="00A35D1D">
      <w:pPr>
        <w:spacing w:after="0" w:line="240" w:lineRule="auto"/>
        <w:ind w:firstLine="709"/>
        <w:jc w:val="both"/>
        <w:rPr>
          <w:rFonts w:ascii="Times New Roman" w:eastAsia="Times New Roman" w:hAnsi="Times New Roman" w:cs="Times New Roman"/>
          <w:sz w:val="18"/>
          <w:szCs w:val="20"/>
          <w:lang w:eastAsia="es-ES"/>
        </w:rPr>
      </w:pPr>
      <w:r w:rsidRPr="00B7548E">
        <w:rPr>
          <w:rFonts w:ascii="Times New Roman" w:eastAsia="Times New Roman" w:hAnsi="Times New Roman" w:cs="Times New Roman"/>
          <w:sz w:val="18"/>
          <w:szCs w:val="20"/>
          <w:lang w:eastAsia="es-ES"/>
        </w:rPr>
        <w:lastRenderedPageBreak/>
        <w:t xml:space="preserve">- </w:t>
      </w:r>
      <w:r>
        <w:rPr>
          <w:rFonts w:ascii="Times New Roman" w:eastAsia="Times New Roman" w:hAnsi="Times New Roman" w:cs="Times New Roman"/>
          <w:sz w:val="18"/>
          <w:szCs w:val="20"/>
          <w:lang w:eastAsia="es-ES"/>
        </w:rPr>
        <w:t>Ley</w:t>
      </w:r>
      <w:r w:rsidRPr="00B7548E">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1</w:t>
      </w:r>
      <w:r w:rsidRPr="00B7548E">
        <w:rPr>
          <w:rFonts w:ascii="Times New Roman" w:eastAsia="Times New Roman" w:hAnsi="Times New Roman" w:cs="Times New Roman"/>
          <w:sz w:val="18"/>
          <w:szCs w:val="20"/>
          <w:lang w:eastAsia="es-ES"/>
        </w:rPr>
        <w:t>/2021, de 2</w:t>
      </w:r>
      <w:r>
        <w:rPr>
          <w:rFonts w:ascii="Times New Roman" w:eastAsia="Times New Roman" w:hAnsi="Times New Roman" w:cs="Times New Roman"/>
          <w:sz w:val="18"/>
          <w:szCs w:val="20"/>
          <w:lang w:eastAsia="es-ES"/>
        </w:rPr>
        <w:t>2</w:t>
      </w:r>
      <w:r w:rsidRPr="00B7548E">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f</w:t>
      </w:r>
      <w:r w:rsidRPr="00B7548E">
        <w:rPr>
          <w:rFonts w:ascii="Times New Roman" w:eastAsia="Times New Roman" w:hAnsi="Times New Roman" w:cs="Times New Roman"/>
          <w:sz w:val="18"/>
          <w:szCs w:val="20"/>
          <w:lang w:eastAsia="es-ES"/>
        </w:rPr>
        <w:t>e</w:t>
      </w:r>
      <w:r>
        <w:rPr>
          <w:rFonts w:ascii="Times New Roman" w:eastAsia="Times New Roman" w:hAnsi="Times New Roman" w:cs="Times New Roman"/>
          <w:sz w:val="18"/>
          <w:szCs w:val="20"/>
          <w:lang w:eastAsia="es-ES"/>
        </w:rPr>
        <w:t>brer</w:t>
      </w:r>
      <w:r w:rsidRPr="00B7548E">
        <w:rPr>
          <w:rFonts w:ascii="Times New Roman" w:eastAsia="Times New Roman" w:hAnsi="Times New Roman" w:cs="Times New Roman"/>
          <w:sz w:val="18"/>
          <w:szCs w:val="20"/>
          <w:lang w:eastAsia="es-ES"/>
        </w:rPr>
        <w:t>o, de</w:t>
      </w:r>
      <w:r>
        <w:rPr>
          <w:rFonts w:ascii="Times New Roman" w:eastAsia="Times New Roman" w:hAnsi="Times New Roman" w:cs="Times New Roman"/>
          <w:sz w:val="18"/>
          <w:szCs w:val="20"/>
          <w:lang w:eastAsia="es-ES"/>
        </w:rPr>
        <w:t xml:space="preserve"> Medidas Tributarias, Financieras y Administrativas.</w:t>
      </w:r>
      <w:r w:rsidRPr="00B7548E">
        <w:rPr>
          <w:rFonts w:ascii="Times New Roman" w:eastAsia="Times New Roman" w:hAnsi="Times New Roman" w:cs="Times New Roman"/>
          <w:sz w:val="18"/>
          <w:szCs w:val="20"/>
          <w:lang w:eastAsia="es-ES"/>
        </w:rPr>
        <w:t xml:space="preserve"> (BOC</w:t>
      </w:r>
      <w:r>
        <w:rPr>
          <w:rFonts w:ascii="Times New Roman" w:eastAsia="Times New Roman" w:hAnsi="Times New Roman" w:cs="Times New Roman"/>
          <w:sz w:val="18"/>
          <w:szCs w:val="20"/>
          <w:lang w:eastAsia="es-ES"/>
        </w:rPr>
        <w:t>YL</w:t>
      </w:r>
      <w:r w:rsidRPr="00B7548E">
        <w:rPr>
          <w:rFonts w:ascii="Times New Roman" w:eastAsia="Times New Roman" w:hAnsi="Times New Roman" w:cs="Times New Roman"/>
          <w:sz w:val="18"/>
          <w:szCs w:val="20"/>
          <w:lang w:eastAsia="es-ES"/>
        </w:rPr>
        <w:t xml:space="preserve"> núm. </w:t>
      </w:r>
      <w:r>
        <w:rPr>
          <w:rFonts w:ascii="Times New Roman" w:eastAsia="Times New Roman" w:hAnsi="Times New Roman" w:cs="Times New Roman"/>
          <w:sz w:val="18"/>
          <w:szCs w:val="20"/>
          <w:lang w:eastAsia="es-ES"/>
        </w:rPr>
        <w:t>39</w:t>
      </w:r>
      <w:r w:rsidRPr="00B7548E">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25</w:t>
      </w:r>
      <w:r w:rsidRPr="00B7548E">
        <w:rPr>
          <w:rFonts w:ascii="Times New Roman" w:eastAsia="Times New Roman" w:hAnsi="Times New Roman" w:cs="Times New Roman"/>
          <w:sz w:val="18"/>
          <w:szCs w:val="20"/>
          <w:lang w:eastAsia="es-ES"/>
        </w:rPr>
        <w:t xml:space="preserve"> de febrero).</w:t>
      </w:r>
    </w:p>
    <w:p w:rsidR="00A35D1D" w:rsidRDefault="00A35D1D" w:rsidP="00A35D1D">
      <w:pPr>
        <w:spacing w:after="0" w:line="240" w:lineRule="auto"/>
        <w:ind w:firstLine="709"/>
        <w:jc w:val="both"/>
        <w:rPr>
          <w:rFonts w:ascii="Times New Roman" w:eastAsia="Times New Roman" w:hAnsi="Times New Roman" w:cs="Times New Roman"/>
          <w:sz w:val="18"/>
          <w:szCs w:val="20"/>
          <w:lang w:eastAsia="es-ES"/>
        </w:rPr>
      </w:pPr>
      <w:r w:rsidRPr="00B7548E">
        <w:rPr>
          <w:rFonts w:ascii="Times New Roman" w:eastAsia="Times New Roman" w:hAnsi="Times New Roman" w:cs="Times New Roman"/>
          <w:sz w:val="18"/>
          <w:szCs w:val="20"/>
          <w:lang w:eastAsia="es-ES"/>
        </w:rPr>
        <w:t xml:space="preserve">- Decreto </w:t>
      </w:r>
      <w:r>
        <w:rPr>
          <w:rFonts w:ascii="Times New Roman" w:eastAsia="Times New Roman" w:hAnsi="Times New Roman" w:cs="Times New Roman"/>
          <w:sz w:val="18"/>
          <w:szCs w:val="20"/>
          <w:lang w:eastAsia="es-ES"/>
        </w:rPr>
        <w:t>6</w:t>
      </w:r>
      <w:r w:rsidRPr="00B7548E">
        <w:rPr>
          <w:rFonts w:ascii="Times New Roman" w:eastAsia="Times New Roman" w:hAnsi="Times New Roman" w:cs="Times New Roman"/>
          <w:sz w:val="18"/>
          <w:szCs w:val="20"/>
          <w:lang w:eastAsia="es-ES"/>
        </w:rPr>
        <w:t xml:space="preserve">/2021, de </w:t>
      </w:r>
      <w:r>
        <w:rPr>
          <w:rFonts w:ascii="Times New Roman" w:eastAsia="Times New Roman" w:hAnsi="Times New Roman" w:cs="Times New Roman"/>
          <w:sz w:val="18"/>
          <w:szCs w:val="20"/>
          <w:lang w:eastAsia="es-ES"/>
        </w:rPr>
        <w:t>11</w:t>
      </w:r>
      <w:r w:rsidRPr="00B7548E">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marzo</w:t>
      </w:r>
      <w:r w:rsidRPr="00B7548E">
        <w:rPr>
          <w:rFonts w:ascii="Times New Roman" w:eastAsia="Times New Roman" w:hAnsi="Times New Roman" w:cs="Times New Roman"/>
          <w:sz w:val="18"/>
          <w:szCs w:val="20"/>
          <w:lang w:eastAsia="es-ES"/>
        </w:rPr>
        <w:t xml:space="preserve">, </w:t>
      </w:r>
      <w:r>
        <w:rPr>
          <w:rFonts w:ascii="Times New Roman" w:eastAsia="Times New Roman" w:hAnsi="Times New Roman" w:cs="Times New Roman"/>
          <w:sz w:val="18"/>
          <w:szCs w:val="20"/>
          <w:lang w:eastAsia="es-ES"/>
        </w:rPr>
        <w:t xml:space="preserve">por el que se modifica </w:t>
      </w:r>
      <w:r w:rsidRPr="00B7548E">
        <w:rPr>
          <w:rFonts w:ascii="Times New Roman" w:eastAsia="Times New Roman" w:hAnsi="Times New Roman" w:cs="Times New Roman"/>
          <w:sz w:val="18"/>
          <w:szCs w:val="20"/>
          <w:lang w:eastAsia="es-ES"/>
        </w:rPr>
        <w:t xml:space="preserve">el </w:t>
      </w:r>
      <w:r>
        <w:rPr>
          <w:rFonts w:ascii="Times New Roman" w:eastAsia="Times New Roman" w:hAnsi="Times New Roman" w:cs="Times New Roman"/>
          <w:sz w:val="18"/>
          <w:szCs w:val="20"/>
          <w:lang w:eastAsia="es-ES"/>
        </w:rPr>
        <w:t>Reglamento de Urbanismo de Castilla y León en relación con la regulación de las actividades extractivas en suelo rústico</w:t>
      </w:r>
      <w:r w:rsidRPr="00B7548E">
        <w:rPr>
          <w:rFonts w:ascii="Times New Roman" w:eastAsia="Times New Roman" w:hAnsi="Times New Roman" w:cs="Times New Roman"/>
          <w:sz w:val="18"/>
          <w:szCs w:val="20"/>
          <w:lang w:eastAsia="es-ES"/>
        </w:rPr>
        <w:t>. (BOC</w:t>
      </w:r>
      <w:r>
        <w:rPr>
          <w:rFonts w:ascii="Times New Roman" w:eastAsia="Times New Roman" w:hAnsi="Times New Roman" w:cs="Times New Roman"/>
          <w:sz w:val="18"/>
          <w:szCs w:val="20"/>
          <w:lang w:eastAsia="es-ES"/>
        </w:rPr>
        <w:t>YL</w:t>
      </w:r>
      <w:r w:rsidRPr="00B7548E">
        <w:rPr>
          <w:rFonts w:ascii="Times New Roman" w:eastAsia="Times New Roman" w:hAnsi="Times New Roman" w:cs="Times New Roman"/>
          <w:sz w:val="18"/>
          <w:szCs w:val="20"/>
          <w:lang w:eastAsia="es-ES"/>
        </w:rPr>
        <w:t xml:space="preserve"> núm. </w:t>
      </w:r>
      <w:r>
        <w:rPr>
          <w:rFonts w:ascii="Times New Roman" w:eastAsia="Times New Roman" w:hAnsi="Times New Roman" w:cs="Times New Roman"/>
          <w:sz w:val="18"/>
          <w:szCs w:val="20"/>
          <w:lang w:eastAsia="es-ES"/>
        </w:rPr>
        <w:t>51</w:t>
      </w:r>
      <w:r w:rsidRPr="00B7548E">
        <w:rPr>
          <w:rFonts w:ascii="Times New Roman" w:eastAsia="Times New Roman" w:hAnsi="Times New Roman" w:cs="Times New Roman"/>
          <w:sz w:val="18"/>
          <w:szCs w:val="20"/>
          <w:lang w:eastAsia="es-ES"/>
        </w:rPr>
        <w:t xml:space="preserve">, de </w:t>
      </w:r>
      <w:r>
        <w:rPr>
          <w:rFonts w:ascii="Times New Roman" w:eastAsia="Times New Roman" w:hAnsi="Times New Roman" w:cs="Times New Roman"/>
          <w:sz w:val="18"/>
          <w:szCs w:val="20"/>
          <w:lang w:eastAsia="es-ES"/>
        </w:rPr>
        <w:t>15 de marzo</w:t>
      </w:r>
      <w:r w:rsidRPr="00B7548E">
        <w:rPr>
          <w:rFonts w:ascii="Times New Roman" w:eastAsia="Times New Roman" w:hAnsi="Times New Roman" w:cs="Times New Roman"/>
          <w:sz w:val="18"/>
          <w:szCs w:val="20"/>
          <w:lang w:eastAsia="es-ES"/>
        </w:rPr>
        <w:t>).</w:t>
      </w:r>
    </w:p>
    <w:p w:rsidR="00622642" w:rsidRPr="00622642" w:rsidRDefault="00622642" w:rsidP="007C07B1">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 xml:space="preserve">II. NOVEDADES JURISPRUDENCIALES. </w:t>
      </w:r>
    </w:p>
    <w:p w:rsidR="007C07B1" w:rsidRPr="007C07B1" w:rsidRDefault="007C07B1" w:rsidP="007C07B1">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7C07B1">
        <w:rPr>
          <w:rFonts w:ascii="Times New Roman" w:eastAsia="Times New Roman" w:hAnsi="Times New Roman" w:cs="Times New Roman"/>
          <w:b/>
          <w:sz w:val="18"/>
          <w:szCs w:val="20"/>
          <w:lang w:eastAsia="es-ES"/>
        </w:rPr>
        <w:t>1.- TRIBUNAL CONSTITUCIONAL.</w:t>
      </w:r>
    </w:p>
    <w:p w:rsidR="007C07B1" w:rsidRPr="007C07B1" w:rsidRDefault="007C07B1" w:rsidP="007C07B1">
      <w:pPr>
        <w:spacing w:after="0" w:line="240" w:lineRule="auto"/>
        <w:ind w:firstLine="709"/>
        <w:jc w:val="both"/>
        <w:rPr>
          <w:rFonts w:ascii="Times New Roman" w:eastAsia="Times New Roman" w:hAnsi="Times New Roman" w:cs="Times New Roman"/>
          <w:sz w:val="18"/>
          <w:szCs w:val="20"/>
          <w:lang w:eastAsia="es-ES"/>
        </w:rPr>
      </w:pPr>
      <w:r w:rsidRPr="007C07B1">
        <w:rPr>
          <w:rFonts w:ascii="Times New Roman" w:eastAsia="Times New Roman" w:hAnsi="Times New Roman" w:cs="Times New Roman"/>
          <w:sz w:val="18"/>
          <w:szCs w:val="20"/>
          <w:lang w:eastAsia="es-ES"/>
        </w:rPr>
        <w:t>- Sentencia 16/2021, de 28 de enero, que resuelve el recurso de inconstitucionalidad interpuesto por más de cincuenta diputados del Grupo Parlamentario Popular del Congreso respecto de los Decretos leyes del Gobierno de la Generalitat de Cataluña 17/2019, de 23 de diciembre, de medidas urgentes para mejorar el acceso a la vivienda, y 1/2020, de 21 de enero, por el que se modifica el anterior, y el acuerdo del Parlamento Cataluña de convalidación del Decreto-ley 1/2020 (BOE núm. 46, de 23 de febrero)</w:t>
      </w:r>
    </w:p>
    <w:p w:rsidR="00622642" w:rsidRPr="00622642" w:rsidRDefault="00622642" w:rsidP="007C07B1">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2.- TRIBUNAL SUPREMO</w:t>
      </w:r>
    </w:p>
    <w:p w:rsidR="006755DA" w:rsidRDefault="006755DA" w:rsidP="006755DA">
      <w:pPr>
        <w:spacing w:after="0" w:line="24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 xml:space="preserve">- </w:t>
      </w:r>
      <w:r w:rsidRPr="006755DA">
        <w:rPr>
          <w:rFonts w:ascii="Times New Roman" w:eastAsia="Times New Roman" w:hAnsi="Times New Roman" w:cs="Times New Roman"/>
          <w:sz w:val="18"/>
          <w:szCs w:val="20"/>
          <w:lang w:eastAsia="es-ES"/>
        </w:rPr>
        <w:t>Sentencia 75/2021, de 26 de enero, de la Sala de lo Contencioso Administrativo, Sección Quinta, del Tribunal Supremo, que desestima el recurso de casación interpuesto contra una sentencia del TSJ de Cataluña que estimó parcialmente un recurso contencioso administrativo contra un acuerdo municipal de aprobación definitiva de un plan especial urbanístico para la regulación de las viviendas de uso turístico en la ciudad de Barcelona</w:t>
      </w:r>
      <w:r>
        <w:rPr>
          <w:rFonts w:ascii="Times New Roman" w:eastAsia="Times New Roman" w:hAnsi="Times New Roman" w:cs="Times New Roman"/>
          <w:sz w:val="18"/>
          <w:szCs w:val="20"/>
          <w:lang w:eastAsia="es-ES"/>
        </w:rPr>
        <w:t>. (Roj: STS 210/2021)</w:t>
      </w:r>
    </w:p>
    <w:p w:rsidR="00622642" w:rsidRPr="00622642" w:rsidRDefault="00622642" w:rsidP="007C07B1">
      <w:pPr>
        <w:tabs>
          <w:tab w:val="left" w:pos="-2268"/>
        </w:tabs>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3.- TRIBUNALES SUPERIORES DE JUSTICIA</w:t>
      </w:r>
    </w:p>
    <w:p w:rsidR="001B0547" w:rsidRDefault="001B0547" w:rsidP="00622642">
      <w:pPr>
        <w:spacing w:before="240" w:after="0" w:line="360" w:lineRule="auto"/>
        <w:ind w:firstLine="709"/>
        <w:jc w:val="both"/>
        <w:rPr>
          <w:rFonts w:ascii="Times New Roman" w:eastAsia="Times New Roman" w:hAnsi="Times New Roman" w:cs="Times New Roman"/>
          <w:sz w:val="18"/>
          <w:szCs w:val="20"/>
          <w:lang w:eastAsia="es-ES"/>
        </w:rPr>
      </w:pPr>
      <w:r>
        <w:rPr>
          <w:rFonts w:ascii="Times New Roman" w:eastAsia="Times New Roman" w:hAnsi="Times New Roman" w:cs="Times New Roman"/>
          <w:sz w:val="18"/>
          <w:szCs w:val="20"/>
          <w:lang w:eastAsia="es-ES"/>
        </w:rPr>
        <w:t>J) ARAGÓN</w:t>
      </w:r>
    </w:p>
    <w:p w:rsidR="001B0547" w:rsidRDefault="001B0547" w:rsidP="001B0547">
      <w:pPr>
        <w:spacing w:after="0" w:line="240" w:lineRule="auto"/>
        <w:ind w:firstLine="709"/>
        <w:jc w:val="both"/>
        <w:rPr>
          <w:rFonts w:ascii="Times New Roman" w:eastAsia="Times New Roman" w:hAnsi="Times New Roman" w:cs="Times New Roman"/>
          <w:sz w:val="18"/>
          <w:szCs w:val="20"/>
          <w:lang w:eastAsia="es-ES"/>
        </w:rPr>
      </w:pPr>
      <w:r w:rsidRPr="001B0547">
        <w:rPr>
          <w:rFonts w:ascii="Times New Roman" w:eastAsia="Times New Roman" w:hAnsi="Times New Roman" w:cs="Times New Roman"/>
          <w:sz w:val="18"/>
          <w:szCs w:val="20"/>
          <w:lang w:eastAsia="es-ES"/>
        </w:rPr>
        <w:t>- Sentencia 3/2021, de 5 de enero, de la Sala de lo Contencioso Administrativo, Sección Primera, del TSJ de Aragón, que estima parcialmente un recurso de apelación interpuesto contra una sentencia del JCA nº 1 de Zaragoza, que, a su vez, desestimó el RCA deducido contra una orden de realización de determinadas actuaciones en un edificio desocupado de interés arquitectónico. (Roj: STSJ AR 4/2021)</w:t>
      </w:r>
    </w:p>
    <w:p w:rsidR="00622642" w:rsidRPr="00622642" w:rsidRDefault="00622642" w:rsidP="00622642">
      <w:pPr>
        <w:spacing w:before="240" w:after="0" w:line="360" w:lineRule="auto"/>
        <w:ind w:firstLine="709"/>
        <w:jc w:val="both"/>
        <w:rPr>
          <w:rFonts w:ascii="Times New Roman" w:eastAsia="Times New Roman" w:hAnsi="Times New Roman" w:cs="Times New Roman"/>
          <w:b/>
          <w:sz w:val="18"/>
          <w:szCs w:val="20"/>
          <w:lang w:eastAsia="es-ES"/>
        </w:rPr>
      </w:pPr>
      <w:r w:rsidRPr="00622642">
        <w:rPr>
          <w:rFonts w:ascii="Times New Roman" w:eastAsia="Times New Roman" w:hAnsi="Times New Roman" w:cs="Times New Roman"/>
          <w:b/>
          <w:sz w:val="18"/>
          <w:szCs w:val="20"/>
          <w:lang w:eastAsia="es-ES"/>
        </w:rPr>
        <w:t xml:space="preserve">III. DOCUMENTOS RELEVANTES. </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br w:type="page"/>
      </w:r>
      <w:bookmarkStart w:id="0" w:name="_GoBack"/>
      <w:bookmarkEnd w:id="0"/>
      <w:r w:rsidRPr="00622642">
        <w:rPr>
          <w:rFonts w:ascii="Times New Roman" w:eastAsia="Times New Roman" w:hAnsi="Times New Roman" w:cs="Times New Roman"/>
          <w:b/>
          <w:sz w:val="24"/>
          <w:szCs w:val="20"/>
          <w:lang w:eastAsia="es-ES"/>
        </w:rPr>
        <w:lastRenderedPageBreak/>
        <w:t>I. NOVEDADES NORMATIVAS.</w:t>
      </w:r>
    </w:p>
    <w:p w:rsidR="00660DE2" w:rsidRDefault="00660DE2" w:rsidP="00622642">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este periodo comprensivo de los meses de febrero a abril de 2021 la actividad normativa, reglamentaria incluida, sigue estando muy mermada.</w:t>
      </w:r>
    </w:p>
    <w:p w:rsidR="00660DE2" w:rsidRPr="00660DE2" w:rsidRDefault="00660DE2" w:rsidP="00660DE2">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el ámbito estatal únicamente se ha dictado el </w:t>
      </w:r>
      <w:r w:rsidRPr="00660DE2">
        <w:rPr>
          <w:rFonts w:ascii="Times New Roman" w:eastAsia="Times New Roman" w:hAnsi="Times New Roman" w:cs="Times New Roman"/>
          <w:sz w:val="24"/>
          <w:szCs w:val="20"/>
          <w:lang w:eastAsia="es-ES"/>
        </w:rPr>
        <w:t>Real Decreto 178/2020, 23 de marzo, por el que se modifica el Real Decreto 1027/2007, de 20 de julio, por el que se aprueba el Reglamento de Instalaciones Térmicas en los Edificios</w:t>
      </w:r>
      <w:r>
        <w:rPr>
          <w:rFonts w:ascii="Times New Roman" w:eastAsia="Times New Roman" w:hAnsi="Times New Roman" w:cs="Times New Roman"/>
          <w:sz w:val="24"/>
          <w:szCs w:val="20"/>
          <w:lang w:eastAsia="es-ES"/>
        </w:rPr>
        <w:t>, con el fin de favorecer la eficiencia energética</w:t>
      </w:r>
      <w:r w:rsidRPr="00660DE2">
        <w:rPr>
          <w:rFonts w:ascii="Times New Roman" w:eastAsia="Times New Roman" w:hAnsi="Times New Roman" w:cs="Times New Roman"/>
          <w:sz w:val="24"/>
          <w:szCs w:val="20"/>
          <w:lang w:eastAsia="es-ES"/>
        </w:rPr>
        <w:t>.</w:t>
      </w:r>
    </w:p>
    <w:p w:rsidR="00660DE2" w:rsidRDefault="00660DE2" w:rsidP="00660DE2">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las Comunidades Autónomas la situación es muy similar. La mayor parte de ellas han dictado normas de simplificación administrativa y para reactivar la economía, afrontando los efectos de la pandemia. En este caso se encuentra Aragón y Galicia. Otras han dictado medidas fiscales y administrativas, que incluyen modificación de textos legales, fundamentalmente, reguladores de la vivienda y el urbanismo. La C. A. que más cambios ha introducido en materia de urbanismo es la de castilla-La Mancha, con la aprobación de una ley de simplificación urbanística. </w:t>
      </w:r>
    </w:p>
    <w:p w:rsidR="00660DE2" w:rsidRDefault="00660DE2" w:rsidP="00622642">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Descendiendo en el nivel jerárquico se han dictado diversidad de decretos reguladores de </w:t>
      </w:r>
      <w:r w:rsidRPr="00660DE2">
        <w:rPr>
          <w:rFonts w:ascii="Times New Roman" w:eastAsia="Times New Roman" w:hAnsi="Times New Roman" w:cs="Times New Roman"/>
          <w:sz w:val="24"/>
          <w:szCs w:val="20"/>
          <w:lang w:eastAsia="es-ES"/>
        </w:rPr>
        <w:t xml:space="preserve">Directrices de paisaje </w:t>
      </w:r>
      <w:r>
        <w:rPr>
          <w:rFonts w:ascii="Times New Roman" w:eastAsia="Times New Roman" w:hAnsi="Times New Roman" w:cs="Times New Roman"/>
          <w:sz w:val="24"/>
          <w:szCs w:val="20"/>
          <w:lang w:eastAsia="es-ES"/>
        </w:rPr>
        <w:t>o d</w:t>
      </w:r>
      <w:r w:rsidRPr="00660DE2">
        <w:rPr>
          <w:rFonts w:ascii="Times New Roman" w:eastAsia="Times New Roman" w:hAnsi="Times New Roman" w:cs="Times New Roman"/>
          <w:sz w:val="24"/>
          <w:szCs w:val="20"/>
          <w:lang w:eastAsia="es-ES"/>
        </w:rPr>
        <w:t xml:space="preserve">el informe de evaluación de los edificios </w:t>
      </w:r>
      <w:r>
        <w:rPr>
          <w:rFonts w:ascii="Times New Roman" w:eastAsia="Times New Roman" w:hAnsi="Times New Roman" w:cs="Times New Roman"/>
          <w:sz w:val="24"/>
          <w:szCs w:val="20"/>
          <w:lang w:eastAsia="es-ES"/>
        </w:rPr>
        <w:t xml:space="preserve">en Galicia, </w:t>
      </w:r>
      <w:r w:rsidRPr="00660DE2">
        <w:rPr>
          <w:rFonts w:ascii="Times New Roman" w:eastAsia="Times New Roman" w:hAnsi="Times New Roman" w:cs="Times New Roman"/>
          <w:sz w:val="24"/>
          <w:szCs w:val="20"/>
          <w:lang w:eastAsia="es-ES"/>
        </w:rPr>
        <w:t>de la declaración responsable para la primera ocupación y sucesivas de viviendas</w:t>
      </w:r>
      <w:r>
        <w:rPr>
          <w:rFonts w:ascii="Times New Roman" w:eastAsia="Times New Roman" w:hAnsi="Times New Roman" w:cs="Times New Roman"/>
          <w:sz w:val="24"/>
          <w:szCs w:val="20"/>
          <w:lang w:eastAsia="es-ES"/>
        </w:rPr>
        <w:t xml:space="preserve"> en la Comunidad Valenciana, el reglamento de vías pecuarias en Madrid</w:t>
      </w:r>
      <w:r w:rsidR="002E0799">
        <w:rPr>
          <w:rFonts w:ascii="Times New Roman" w:eastAsia="Times New Roman" w:hAnsi="Times New Roman" w:cs="Times New Roman"/>
          <w:sz w:val="24"/>
          <w:szCs w:val="20"/>
          <w:lang w:eastAsia="es-ES"/>
        </w:rPr>
        <w:t xml:space="preserve"> o la modificación del </w:t>
      </w:r>
      <w:r w:rsidRPr="00660DE2">
        <w:rPr>
          <w:rFonts w:ascii="Times New Roman" w:eastAsia="Times New Roman" w:hAnsi="Times New Roman" w:cs="Times New Roman"/>
          <w:sz w:val="24"/>
          <w:szCs w:val="20"/>
          <w:lang w:eastAsia="es-ES"/>
        </w:rPr>
        <w:t xml:space="preserve">Reglamento de Urbanismo de Castilla y León en relación con la regulación de las actividades extractivas en suelo rústico. </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1. ESTADO.</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 </w:t>
      </w:r>
      <w:r w:rsidRPr="001545A4">
        <w:rPr>
          <w:rFonts w:ascii="Times New Roman" w:eastAsia="Times New Roman" w:hAnsi="Times New Roman" w:cs="Times New Roman"/>
          <w:b/>
          <w:sz w:val="24"/>
          <w:szCs w:val="20"/>
          <w:u w:val="single"/>
          <w:lang w:eastAsia="es-ES"/>
        </w:rPr>
        <w:t>Real Decreto 178/2020, 23 de marzo, por el que se modifica el Real Decreto 1027/2007, de 20 de julio, por el que se aprueba el Reglamento de Instalaciones Térmicas en los Edificios</w:t>
      </w:r>
      <w:r w:rsidRPr="001545A4">
        <w:rPr>
          <w:rFonts w:ascii="Times New Roman" w:eastAsia="Times New Roman" w:hAnsi="Times New Roman" w:cs="Times New Roman"/>
          <w:sz w:val="24"/>
          <w:szCs w:val="20"/>
          <w:lang w:eastAsia="es-ES"/>
        </w:rPr>
        <w:t>. (BOE núm. 71, de 24 de marzo).</w:t>
      </w:r>
    </w:p>
    <w:p w:rsidR="001545A4" w:rsidRDefault="00212B5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Pr="00212B54">
        <w:rPr>
          <w:rFonts w:ascii="Times New Roman" w:eastAsia="Times New Roman" w:hAnsi="Times New Roman" w:cs="Times New Roman"/>
          <w:sz w:val="24"/>
          <w:szCs w:val="20"/>
          <w:lang w:eastAsia="es-ES"/>
        </w:rPr>
        <w:t xml:space="preserve">ste real decreto incorpora parcialmente al derecho español la regulación de las instalaciones técnicas en los edificios prevista en la Directiva (UE) 2018/844 del Parlamento Europeo y del Consejo, de 30 de mayo de 2018, por la que se modifica la Directiva 2010/31/UE relativa a la eficiencia energética de los edificios y la Directiva 2012/27/UE relativa a la eficiencia energética; y la regulación de las instalaciones técnicas en los edificios prevista en la Directiva (UE) 2018/2002 del Parlamento Europeo </w:t>
      </w:r>
      <w:r w:rsidRPr="00212B54">
        <w:rPr>
          <w:rFonts w:ascii="Times New Roman" w:eastAsia="Times New Roman" w:hAnsi="Times New Roman" w:cs="Times New Roman"/>
          <w:sz w:val="24"/>
          <w:szCs w:val="20"/>
          <w:lang w:eastAsia="es-ES"/>
        </w:rPr>
        <w:lastRenderedPageBreak/>
        <w:t>y del Consejo, de 11 de diciembre de 2018, por la que se modifica la Directiva 2012/27/UE relativa a la eficiencia energética</w:t>
      </w:r>
      <w:r>
        <w:rPr>
          <w:rFonts w:ascii="Times New Roman" w:eastAsia="Times New Roman" w:hAnsi="Times New Roman" w:cs="Times New Roman"/>
          <w:sz w:val="24"/>
          <w:szCs w:val="20"/>
          <w:lang w:eastAsia="es-ES"/>
        </w:rPr>
        <w:t>.</w:t>
      </w:r>
    </w:p>
    <w:p w:rsidR="001545A4" w:rsidRDefault="00212B5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decreto no es </w:t>
      </w:r>
      <w:r w:rsidRPr="00212B54">
        <w:rPr>
          <w:rFonts w:ascii="Times New Roman" w:eastAsia="Times New Roman" w:hAnsi="Times New Roman" w:cs="Times New Roman"/>
          <w:sz w:val="24"/>
          <w:szCs w:val="20"/>
          <w:lang w:eastAsia="es-ES"/>
        </w:rPr>
        <w:t>de aplicación a los edificios que a fecha de 1 de julio de 2021 estén en construcción ni a los proyectos que tengan solicitada licencia de obras o, en su caso, la autorización administrativa que les sea preceptiva, excepto en lo relativo a su reforma, mantenimiento, uso e inspección.</w:t>
      </w:r>
    </w:p>
    <w:p w:rsidR="000E4F2A" w:rsidRPr="000E4F2A" w:rsidRDefault="000E4F2A" w:rsidP="000E4F2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D. A. 1ª del RD se refiere a las </w:t>
      </w:r>
      <w:r w:rsidRPr="001E3178">
        <w:rPr>
          <w:rFonts w:ascii="Times New Roman" w:eastAsia="Times New Roman" w:hAnsi="Times New Roman" w:cs="Times New Roman"/>
          <w:i/>
          <w:sz w:val="24"/>
          <w:szCs w:val="20"/>
          <w:u w:val="single"/>
          <w:lang w:eastAsia="es-ES"/>
        </w:rPr>
        <w:t>obligaciones de lectura de los equipos de contabilización de consumos de agua caliente sanitaria, información al consumidor y reparto de costes</w:t>
      </w:r>
      <w:r>
        <w:rPr>
          <w:rFonts w:ascii="Times New Roman" w:eastAsia="Times New Roman" w:hAnsi="Times New Roman" w:cs="Times New Roman"/>
          <w:sz w:val="24"/>
          <w:szCs w:val="20"/>
          <w:lang w:eastAsia="es-ES"/>
        </w:rPr>
        <w:t>, y prevé que l</w:t>
      </w:r>
      <w:r w:rsidRPr="000E4F2A">
        <w:rPr>
          <w:rFonts w:ascii="Times New Roman" w:eastAsia="Times New Roman" w:hAnsi="Times New Roman" w:cs="Times New Roman"/>
          <w:sz w:val="24"/>
          <w:szCs w:val="20"/>
          <w:lang w:eastAsia="es-ES"/>
        </w:rPr>
        <w:t>os sistemas de contabilización de consumos de agua caliente sanitaria instalados desde la entrada en vigor de</w:t>
      </w:r>
      <w:r>
        <w:rPr>
          <w:rFonts w:ascii="Times New Roman" w:eastAsia="Times New Roman" w:hAnsi="Times New Roman" w:cs="Times New Roman"/>
          <w:sz w:val="24"/>
          <w:szCs w:val="20"/>
          <w:lang w:eastAsia="es-ES"/>
        </w:rPr>
        <w:t xml:space="preserve"> este RD</w:t>
      </w:r>
      <w:r w:rsidRPr="000E4F2A">
        <w:rPr>
          <w:rFonts w:ascii="Times New Roman" w:eastAsia="Times New Roman" w:hAnsi="Times New Roman" w:cs="Times New Roman"/>
          <w:sz w:val="24"/>
          <w:szCs w:val="20"/>
          <w:lang w:eastAsia="es-ES"/>
        </w:rPr>
        <w:t>, en el tramo de acometida, deberán disponer de un servicio de lectura remota que permita, cuando sea técnica y económicamente viable, la liquidación individual de los costes en base a dichos consumos.</w:t>
      </w:r>
      <w:r>
        <w:rPr>
          <w:rFonts w:ascii="Times New Roman" w:eastAsia="Times New Roman" w:hAnsi="Times New Roman" w:cs="Times New Roman"/>
          <w:sz w:val="24"/>
          <w:szCs w:val="20"/>
          <w:lang w:eastAsia="es-ES"/>
        </w:rPr>
        <w:t xml:space="preserve"> </w:t>
      </w:r>
      <w:r w:rsidRPr="000E4F2A">
        <w:rPr>
          <w:rFonts w:ascii="Times New Roman" w:eastAsia="Times New Roman" w:hAnsi="Times New Roman" w:cs="Times New Roman"/>
          <w:sz w:val="24"/>
          <w:szCs w:val="20"/>
          <w:lang w:eastAsia="es-ES"/>
        </w:rPr>
        <w:t xml:space="preserve">Los sistemas de contabilización de consumos de agua caliente sanitaria ya instalados en la fecha de entrada en vigor del </w:t>
      </w:r>
      <w:r>
        <w:rPr>
          <w:rFonts w:ascii="Times New Roman" w:eastAsia="Times New Roman" w:hAnsi="Times New Roman" w:cs="Times New Roman"/>
          <w:sz w:val="24"/>
          <w:szCs w:val="20"/>
          <w:lang w:eastAsia="es-ES"/>
        </w:rPr>
        <w:t>RD</w:t>
      </w:r>
      <w:r w:rsidRPr="000E4F2A">
        <w:rPr>
          <w:rFonts w:ascii="Times New Roman" w:eastAsia="Times New Roman" w:hAnsi="Times New Roman" w:cs="Times New Roman"/>
          <w:sz w:val="24"/>
          <w:szCs w:val="20"/>
          <w:lang w:eastAsia="es-ES"/>
        </w:rPr>
        <w:t xml:space="preserve"> deberán permitir realizar lecturas remotas o ser sustituidos por otros sistemas que sí lo permitan, antes del 1 de enero de 2027.</w:t>
      </w:r>
    </w:p>
    <w:p w:rsidR="000E4F2A" w:rsidRDefault="00FB431D" w:rsidP="00FB431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w:t>
      </w:r>
      <w:r w:rsidRPr="00FB431D">
        <w:rPr>
          <w:rFonts w:ascii="Times New Roman" w:eastAsia="Times New Roman" w:hAnsi="Times New Roman" w:cs="Times New Roman"/>
          <w:sz w:val="24"/>
          <w:szCs w:val="20"/>
          <w:lang w:eastAsia="es-ES"/>
        </w:rPr>
        <w:t>D</w:t>
      </w:r>
      <w:r>
        <w:rPr>
          <w:rFonts w:ascii="Times New Roman" w:eastAsia="Times New Roman" w:hAnsi="Times New Roman" w:cs="Times New Roman"/>
          <w:sz w:val="24"/>
          <w:szCs w:val="20"/>
          <w:lang w:eastAsia="es-ES"/>
        </w:rPr>
        <w:t>. A.</w:t>
      </w:r>
      <w:r w:rsidRPr="00FB431D">
        <w:rPr>
          <w:rFonts w:ascii="Times New Roman" w:eastAsia="Times New Roman" w:hAnsi="Times New Roman" w:cs="Times New Roman"/>
          <w:sz w:val="24"/>
          <w:szCs w:val="20"/>
          <w:lang w:eastAsia="es-ES"/>
        </w:rPr>
        <w:t xml:space="preserve"> </w:t>
      </w:r>
      <w:r w:rsidR="000E4F2A">
        <w:rPr>
          <w:rFonts w:ascii="Times New Roman" w:eastAsia="Times New Roman" w:hAnsi="Times New Roman" w:cs="Times New Roman"/>
          <w:sz w:val="24"/>
          <w:szCs w:val="20"/>
          <w:lang w:eastAsia="es-ES"/>
        </w:rPr>
        <w:t>3ª</w:t>
      </w:r>
      <w:r>
        <w:rPr>
          <w:rFonts w:ascii="Times New Roman" w:eastAsia="Times New Roman" w:hAnsi="Times New Roman" w:cs="Times New Roman"/>
          <w:sz w:val="24"/>
          <w:szCs w:val="20"/>
          <w:lang w:eastAsia="es-ES"/>
        </w:rPr>
        <w:t xml:space="preserve">, que regula los </w:t>
      </w:r>
      <w:r w:rsidRPr="00FB431D">
        <w:rPr>
          <w:rFonts w:ascii="Times New Roman" w:eastAsia="Times New Roman" w:hAnsi="Times New Roman" w:cs="Times New Roman"/>
          <w:i/>
          <w:sz w:val="24"/>
          <w:szCs w:val="20"/>
          <w:u w:val="single"/>
          <w:lang w:eastAsia="es-ES"/>
        </w:rPr>
        <w:t>sistemas de automatización y control para edificios no residenciales existentes</w:t>
      </w:r>
      <w:r>
        <w:rPr>
          <w:rFonts w:ascii="Times New Roman" w:eastAsia="Times New Roman" w:hAnsi="Times New Roman" w:cs="Times New Roman"/>
          <w:sz w:val="24"/>
          <w:szCs w:val="20"/>
          <w:lang w:eastAsia="es-ES"/>
        </w:rPr>
        <w:t>, dispone que, s</w:t>
      </w:r>
      <w:r w:rsidRPr="00FB431D">
        <w:rPr>
          <w:rFonts w:ascii="Times New Roman" w:eastAsia="Times New Roman" w:hAnsi="Times New Roman" w:cs="Times New Roman"/>
          <w:sz w:val="24"/>
          <w:szCs w:val="20"/>
          <w:lang w:eastAsia="es-ES"/>
        </w:rPr>
        <w:t xml:space="preserve">alvo que sea técnica y económicamente inviable, los edificios no residenciales con una potencia nominal útil para instalaciones de calefacción, instalaciones de refrigeración, instalaciones combinadas de calefacción y ventilación o instalaciones combinadas de calefacción y ventilación de más de 290 kW deberán estar equipados, a más tardar en 2025, con sistemas de automatización y control de edificios. </w:t>
      </w:r>
    </w:p>
    <w:p w:rsidR="00212B54" w:rsidRPr="00212B54" w:rsidRDefault="00212B54" w:rsidP="00FB431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D. A. 4ª del decreto, relativa a la </w:t>
      </w:r>
      <w:r w:rsidRPr="00FB431D">
        <w:rPr>
          <w:rFonts w:ascii="Times New Roman" w:eastAsia="Times New Roman" w:hAnsi="Times New Roman" w:cs="Times New Roman"/>
          <w:i/>
          <w:sz w:val="24"/>
          <w:szCs w:val="20"/>
          <w:u w:val="single"/>
          <w:lang w:eastAsia="es-ES"/>
        </w:rPr>
        <w:t>evaluación de la eficiencia energética general de la instalación técnica,</w:t>
      </w:r>
      <w:r>
        <w:rPr>
          <w:rFonts w:ascii="Times New Roman" w:eastAsia="Times New Roman" w:hAnsi="Times New Roman" w:cs="Times New Roman"/>
          <w:sz w:val="24"/>
          <w:szCs w:val="20"/>
          <w:lang w:eastAsia="es-ES"/>
        </w:rPr>
        <w:t xml:space="preserve"> dispone que, a</w:t>
      </w:r>
      <w:r w:rsidRPr="00212B54">
        <w:rPr>
          <w:rFonts w:ascii="Times New Roman" w:eastAsia="Times New Roman" w:hAnsi="Times New Roman" w:cs="Times New Roman"/>
          <w:sz w:val="24"/>
          <w:szCs w:val="20"/>
          <w:lang w:eastAsia="es-ES"/>
        </w:rPr>
        <w:t xml:space="preserve"> efectos del cumplimiento del artículo 1</w:t>
      </w:r>
      <w:r>
        <w:rPr>
          <w:rFonts w:ascii="Times New Roman" w:eastAsia="Times New Roman" w:hAnsi="Times New Roman" w:cs="Times New Roman"/>
          <w:sz w:val="24"/>
          <w:szCs w:val="20"/>
          <w:lang w:eastAsia="es-ES"/>
        </w:rPr>
        <w:t>.5</w:t>
      </w:r>
      <w:r w:rsidRPr="00212B54">
        <w:rPr>
          <w:rFonts w:ascii="Times New Roman" w:eastAsia="Times New Roman" w:hAnsi="Times New Roman" w:cs="Times New Roman"/>
          <w:sz w:val="24"/>
          <w:szCs w:val="20"/>
          <w:lang w:eastAsia="es-ES"/>
        </w:rPr>
        <w:t xml:space="preserve"> de la Directiva (UE) 2018/844 del Parlamento Europeo y del Consejo, de 30 de mayo de 2018, por el que se modifica el artículo 8</w:t>
      </w:r>
      <w:r>
        <w:rPr>
          <w:rFonts w:ascii="Times New Roman" w:eastAsia="Times New Roman" w:hAnsi="Times New Roman" w:cs="Times New Roman"/>
          <w:sz w:val="24"/>
          <w:szCs w:val="20"/>
          <w:lang w:eastAsia="es-ES"/>
        </w:rPr>
        <w:t>.9</w:t>
      </w:r>
      <w:r w:rsidRPr="00212B54">
        <w:rPr>
          <w:rFonts w:ascii="Times New Roman" w:eastAsia="Times New Roman" w:hAnsi="Times New Roman" w:cs="Times New Roman"/>
          <w:sz w:val="24"/>
          <w:szCs w:val="20"/>
          <w:lang w:eastAsia="es-ES"/>
        </w:rPr>
        <w:t xml:space="preserve"> de la Directiva 2010/31/UE, de 19 de mayo de 2010, en la aplicación de medidas de eficiencia energética, aprovechamiento de energías residuales y utilización de energías renovables debe evaluarse la eficiencia energética general de la instalación técnica que se instale, sustituya o modifique, es decir, de la </w:t>
      </w:r>
      <w:r w:rsidRPr="00212B54">
        <w:rPr>
          <w:rFonts w:ascii="Times New Roman" w:eastAsia="Times New Roman" w:hAnsi="Times New Roman" w:cs="Times New Roman"/>
          <w:sz w:val="24"/>
          <w:szCs w:val="20"/>
          <w:lang w:eastAsia="es-ES"/>
        </w:rPr>
        <w:lastRenderedPageBreak/>
        <w:t>instalación térmica según el Reglamento de Instalaciones Térmicas en los Edificios, de la iluminación integrada o de la generación de electricidad in situ.</w:t>
      </w:r>
    </w:p>
    <w:p w:rsidR="00212B54" w:rsidRPr="00212B54" w:rsidRDefault="00FB431D" w:rsidP="00212B5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w:t>
      </w:r>
      <w:r w:rsidR="00212B54" w:rsidRPr="00212B54">
        <w:rPr>
          <w:rFonts w:ascii="Times New Roman" w:eastAsia="Times New Roman" w:hAnsi="Times New Roman" w:cs="Times New Roman"/>
          <w:sz w:val="24"/>
          <w:szCs w:val="20"/>
          <w:lang w:eastAsia="es-ES"/>
        </w:rPr>
        <w:t xml:space="preserve"> los </w:t>
      </w:r>
      <w:r>
        <w:rPr>
          <w:rFonts w:ascii="Times New Roman" w:eastAsia="Times New Roman" w:hAnsi="Times New Roman" w:cs="Times New Roman"/>
          <w:sz w:val="24"/>
          <w:szCs w:val="20"/>
          <w:lang w:eastAsia="es-ES"/>
        </w:rPr>
        <w:t xml:space="preserve">casos en </w:t>
      </w:r>
      <w:r w:rsidR="00212B54" w:rsidRPr="00212B54">
        <w:rPr>
          <w:rFonts w:ascii="Times New Roman" w:eastAsia="Times New Roman" w:hAnsi="Times New Roman" w:cs="Times New Roman"/>
          <w:sz w:val="24"/>
          <w:szCs w:val="20"/>
          <w:lang w:eastAsia="es-ES"/>
        </w:rPr>
        <w:t>que no sea preceptiva la evaluación de la eficiencia energética general de la instalación térmica de acuerdo con la IT 1.2.4.8 del Reglamento de Instalaciones Térmicas en los Edificios, ni la evaluación de la eficiencia energética de la instalación de iluminación según lo establecido en la sección HE3 del CTE, cuando se instale, se sustituya o se mejore una instalación técnica de un edificio, se evaluará la eficiencia energética global de la parte modificada, y, en su caso, de toda la instalación modificada.</w:t>
      </w:r>
    </w:p>
    <w:p w:rsidR="00212B54" w:rsidRPr="00212B54" w:rsidRDefault="00212B54" w:rsidP="00212B5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12B54">
        <w:rPr>
          <w:rFonts w:ascii="Times New Roman" w:eastAsia="Times New Roman" w:hAnsi="Times New Roman" w:cs="Times New Roman"/>
          <w:sz w:val="24"/>
          <w:szCs w:val="20"/>
          <w:lang w:eastAsia="es-ES"/>
        </w:rPr>
        <w:t>Los resultados de dicha evaluación se documentarán y se facilitarán al propietario del edificio.</w:t>
      </w:r>
    </w:p>
    <w:p w:rsidR="001545A4" w:rsidRDefault="00212B54" w:rsidP="00212B5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12B54">
        <w:rPr>
          <w:rFonts w:ascii="Times New Roman" w:eastAsia="Times New Roman" w:hAnsi="Times New Roman" w:cs="Times New Roman"/>
          <w:sz w:val="24"/>
          <w:szCs w:val="20"/>
          <w:lang w:eastAsia="es-ES"/>
        </w:rPr>
        <w:t>El régimen de inspecciones y sanciones aplicable al incumplimiento de esta evaluación, será el que aplique de acuerdo con la normativa específica de la instalación técnica que se instale, sustituya o modifique.</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2. COMUNIDADES AUTONOMAS.</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C) GALICIA</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 </w:t>
      </w:r>
      <w:r w:rsidRPr="001545A4">
        <w:rPr>
          <w:rFonts w:ascii="Times New Roman" w:eastAsia="Times New Roman" w:hAnsi="Times New Roman" w:cs="Times New Roman"/>
          <w:b/>
          <w:sz w:val="24"/>
          <w:szCs w:val="20"/>
          <w:u w:val="single"/>
          <w:lang w:eastAsia="es-ES"/>
        </w:rPr>
        <w:t>Decreto 238/2020, de 29 de diciembre, por el que se aprueban las Directrices de paisaje de Galicia</w:t>
      </w:r>
      <w:r w:rsidRPr="001545A4">
        <w:rPr>
          <w:rFonts w:ascii="Times New Roman" w:eastAsia="Times New Roman" w:hAnsi="Times New Roman" w:cs="Times New Roman"/>
          <w:sz w:val="24"/>
          <w:szCs w:val="20"/>
          <w:lang w:eastAsia="es-ES"/>
        </w:rPr>
        <w:t xml:space="preserve">. (DOG núm. 20, de 1 de febrero) </w:t>
      </w:r>
    </w:p>
    <w:p w:rsidR="001545A4" w:rsidRDefault="008F723D"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Con entrada en vigor a los 20 días de su publicación en el DOG, la disposición transitoria única, relativa a la incorporación de las Directrices del paisaje a los planes y proyectes, dispone que esta incorporación se regirá por las reglas siguientes:</w:t>
      </w:r>
    </w:p>
    <w:p w:rsidR="008F723D" w:rsidRDefault="008F723D" w:rsidP="008F723D">
      <w:pPr>
        <w:pStyle w:val="Prrafodelista"/>
        <w:numPr>
          <w:ilvl w:val="0"/>
          <w:numId w:val="21"/>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Si el plan o proyecto estuviera</w:t>
      </w:r>
      <w:r w:rsidRPr="008F723D">
        <w:rPr>
          <w:rFonts w:ascii="Times New Roman" w:eastAsia="Times New Roman" w:hAnsi="Times New Roman" w:cs="Times New Roman"/>
          <w:sz w:val="24"/>
          <w:szCs w:val="20"/>
          <w:lang w:eastAsia="es-ES"/>
        </w:rPr>
        <w:t xml:space="preserve"> aprobado provisional o definitivamente </w:t>
      </w:r>
      <w:r>
        <w:rPr>
          <w:rFonts w:ascii="Times New Roman" w:eastAsia="Times New Roman" w:hAnsi="Times New Roman" w:cs="Times New Roman"/>
          <w:sz w:val="24"/>
          <w:szCs w:val="20"/>
          <w:lang w:eastAsia="es-ES"/>
        </w:rPr>
        <w:t>en el</w:t>
      </w:r>
      <w:r w:rsidRPr="008F723D">
        <w:rPr>
          <w:rFonts w:ascii="Times New Roman" w:eastAsia="Times New Roman" w:hAnsi="Times New Roman" w:cs="Times New Roman"/>
          <w:sz w:val="24"/>
          <w:szCs w:val="20"/>
          <w:lang w:eastAsia="es-ES"/>
        </w:rPr>
        <w:t xml:space="preserve"> momento de entrada en vigor </w:t>
      </w:r>
      <w:r>
        <w:rPr>
          <w:rFonts w:ascii="Times New Roman" w:eastAsia="Times New Roman" w:hAnsi="Times New Roman" w:cs="Times New Roman"/>
          <w:sz w:val="24"/>
          <w:szCs w:val="20"/>
          <w:lang w:eastAsia="es-ES"/>
        </w:rPr>
        <w:t xml:space="preserve">de las </w:t>
      </w:r>
      <w:r w:rsidRPr="008F723D">
        <w:rPr>
          <w:rFonts w:ascii="Times New Roman" w:eastAsia="Times New Roman" w:hAnsi="Times New Roman" w:cs="Times New Roman"/>
          <w:sz w:val="24"/>
          <w:szCs w:val="20"/>
          <w:lang w:eastAsia="es-ES"/>
        </w:rPr>
        <w:t xml:space="preserve">directrices, </w:t>
      </w:r>
      <w:r>
        <w:rPr>
          <w:rFonts w:ascii="Times New Roman" w:eastAsia="Times New Roman" w:hAnsi="Times New Roman" w:cs="Times New Roman"/>
          <w:sz w:val="24"/>
          <w:szCs w:val="20"/>
          <w:lang w:eastAsia="es-ES"/>
        </w:rPr>
        <w:t>l</w:t>
      </w:r>
      <w:r w:rsidRPr="008F723D">
        <w:rPr>
          <w:rFonts w:ascii="Times New Roman" w:eastAsia="Times New Roman" w:hAnsi="Times New Roman" w:cs="Times New Roman"/>
          <w:sz w:val="24"/>
          <w:szCs w:val="20"/>
          <w:lang w:eastAsia="es-ES"/>
        </w:rPr>
        <w:t xml:space="preserve">a incorporación deberá producirse </w:t>
      </w:r>
      <w:r>
        <w:rPr>
          <w:rFonts w:ascii="Times New Roman" w:eastAsia="Times New Roman" w:hAnsi="Times New Roman" w:cs="Times New Roman"/>
          <w:sz w:val="24"/>
          <w:szCs w:val="20"/>
          <w:lang w:eastAsia="es-ES"/>
        </w:rPr>
        <w:t>en la primera</w:t>
      </w:r>
      <w:r w:rsidRPr="008F723D">
        <w:rPr>
          <w:rFonts w:ascii="Times New Roman" w:eastAsia="Times New Roman" w:hAnsi="Times New Roman" w:cs="Times New Roman"/>
          <w:sz w:val="24"/>
          <w:szCs w:val="20"/>
          <w:lang w:eastAsia="es-ES"/>
        </w:rPr>
        <w:t xml:space="preserve"> revisión d</w:t>
      </w:r>
      <w:r>
        <w:rPr>
          <w:rFonts w:ascii="Times New Roman" w:eastAsia="Times New Roman" w:hAnsi="Times New Roman" w:cs="Times New Roman"/>
          <w:sz w:val="24"/>
          <w:szCs w:val="20"/>
          <w:lang w:eastAsia="es-ES"/>
        </w:rPr>
        <w:t xml:space="preserve">e </w:t>
      </w:r>
      <w:r w:rsidRPr="008F723D">
        <w:rPr>
          <w:rFonts w:ascii="Times New Roman" w:eastAsia="Times New Roman" w:hAnsi="Times New Roman" w:cs="Times New Roman"/>
          <w:sz w:val="24"/>
          <w:szCs w:val="20"/>
          <w:lang w:eastAsia="es-ES"/>
        </w:rPr>
        <w:t>aquel que se produz</w:t>
      </w:r>
      <w:r>
        <w:rPr>
          <w:rFonts w:ascii="Times New Roman" w:eastAsia="Times New Roman" w:hAnsi="Times New Roman" w:cs="Times New Roman"/>
          <w:sz w:val="24"/>
          <w:szCs w:val="20"/>
          <w:lang w:eastAsia="es-ES"/>
        </w:rPr>
        <w:t>c</w:t>
      </w:r>
      <w:r w:rsidRPr="008F723D">
        <w:rPr>
          <w:rFonts w:ascii="Times New Roman" w:eastAsia="Times New Roman" w:hAnsi="Times New Roman" w:cs="Times New Roman"/>
          <w:sz w:val="24"/>
          <w:szCs w:val="20"/>
          <w:lang w:eastAsia="es-ES"/>
        </w:rPr>
        <w:t>a.</w:t>
      </w:r>
    </w:p>
    <w:p w:rsidR="008F723D" w:rsidRDefault="008F723D" w:rsidP="008F723D">
      <w:pPr>
        <w:pStyle w:val="Prrafodelista"/>
        <w:numPr>
          <w:ilvl w:val="0"/>
          <w:numId w:val="21"/>
        </w:numPr>
        <w:tabs>
          <w:tab w:val="left" w:pos="-2268"/>
        </w:tabs>
        <w:spacing w:before="240" w:after="0" w:line="360" w:lineRule="auto"/>
        <w:jc w:val="both"/>
        <w:rPr>
          <w:rFonts w:ascii="Times New Roman" w:eastAsia="Times New Roman" w:hAnsi="Times New Roman" w:cs="Times New Roman"/>
          <w:sz w:val="24"/>
          <w:szCs w:val="20"/>
          <w:lang w:eastAsia="es-ES"/>
        </w:rPr>
      </w:pPr>
      <w:r w:rsidRPr="008F723D">
        <w:rPr>
          <w:rFonts w:ascii="Times New Roman" w:eastAsia="Times New Roman" w:hAnsi="Times New Roman" w:cs="Times New Roman"/>
          <w:sz w:val="24"/>
          <w:szCs w:val="20"/>
          <w:lang w:eastAsia="es-ES"/>
        </w:rPr>
        <w:t>S</w:t>
      </w:r>
      <w:r>
        <w:rPr>
          <w:rFonts w:ascii="Times New Roman" w:eastAsia="Times New Roman" w:hAnsi="Times New Roman" w:cs="Times New Roman"/>
          <w:sz w:val="24"/>
          <w:szCs w:val="20"/>
          <w:lang w:eastAsia="es-ES"/>
        </w:rPr>
        <w:t>i el</w:t>
      </w:r>
      <w:r w:rsidRPr="008F723D">
        <w:rPr>
          <w:rFonts w:ascii="Times New Roman" w:eastAsia="Times New Roman" w:hAnsi="Times New Roman" w:cs="Times New Roman"/>
          <w:sz w:val="24"/>
          <w:szCs w:val="20"/>
          <w:lang w:eastAsia="es-ES"/>
        </w:rPr>
        <w:t xml:space="preserve"> plan o proyecto </w:t>
      </w:r>
      <w:r>
        <w:rPr>
          <w:rFonts w:ascii="Times New Roman" w:eastAsia="Times New Roman" w:hAnsi="Times New Roman" w:cs="Times New Roman"/>
          <w:sz w:val="24"/>
          <w:szCs w:val="20"/>
          <w:lang w:eastAsia="es-ES"/>
        </w:rPr>
        <w:t>estuviera</w:t>
      </w:r>
      <w:r w:rsidRPr="008F723D">
        <w:rPr>
          <w:rFonts w:ascii="Times New Roman" w:eastAsia="Times New Roman" w:hAnsi="Times New Roman" w:cs="Times New Roman"/>
          <w:sz w:val="24"/>
          <w:szCs w:val="20"/>
          <w:lang w:eastAsia="es-ES"/>
        </w:rPr>
        <w:t xml:space="preserve"> en tramitación sin que </w:t>
      </w:r>
      <w:r>
        <w:rPr>
          <w:rFonts w:ascii="Times New Roman" w:eastAsia="Times New Roman" w:hAnsi="Times New Roman" w:cs="Times New Roman"/>
          <w:sz w:val="24"/>
          <w:szCs w:val="20"/>
          <w:lang w:eastAsia="es-ES"/>
        </w:rPr>
        <w:t>alcanzase l</w:t>
      </w:r>
      <w:r w:rsidRPr="008F723D">
        <w:rPr>
          <w:rFonts w:ascii="Times New Roman" w:eastAsia="Times New Roman" w:hAnsi="Times New Roman" w:cs="Times New Roman"/>
          <w:sz w:val="24"/>
          <w:szCs w:val="20"/>
          <w:lang w:eastAsia="es-ES"/>
        </w:rPr>
        <w:t xml:space="preserve">a aprobación provisional </w:t>
      </w:r>
      <w:r>
        <w:rPr>
          <w:rFonts w:ascii="Times New Roman" w:eastAsia="Times New Roman" w:hAnsi="Times New Roman" w:cs="Times New Roman"/>
          <w:sz w:val="24"/>
          <w:szCs w:val="20"/>
          <w:lang w:eastAsia="es-ES"/>
        </w:rPr>
        <w:t>en el</w:t>
      </w:r>
      <w:r w:rsidRPr="008F723D">
        <w:rPr>
          <w:rFonts w:ascii="Times New Roman" w:eastAsia="Times New Roman" w:hAnsi="Times New Roman" w:cs="Times New Roman"/>
          <w:sz w:val="24"/>
          <w:szCs w:val="20"/>
          <w:lang w:eastAsia="es-ES"/>
        </w:rPr>
        <w:t xml:space="preserve"> momento de entrada en vigor </w:t>
      </w:r>
      <w:r>
        <w:rPr>
          <w:rFonts w:ascii="Times New Roman" w:eastAsia="Times New Roman" w:hAnsi="Times New Roman" w:cs="Times New Roman"/>
          <w:sz w:val="24"/>
          <w:szCs w:val="20"/>
          <w:lang w:eastAsia="es-ES"/>
        </w:rPr>
        <w:t>de las</w:t>
      </w:r>
      <w:r w:rsidRPr="008F723D">
        <w:rPr>
          <w:rFonts w:ascii="Times New Roman" w:eastAsia="Times New Roman" w:hAnsi="Times New Roman" w:cs="Times New Roman"/>
          <w:sz w:val="24"/>
          <w:szCs w:val="20"/>
          <w:lang w:eastAsia="es-ES"/>
        </w:rPr>
        <w:t xml:space="preserve"> directrices, deberá adaptar </w:t>
      </w:r>
      <w:r>
        <w:rPr>
          <w:rFonts w:ascii="Times New Roman" w:eastAsia="Times New Roman" w:hAnsi="Times New Roman" w:cs="Times New Roman"/>
          <w:sz w:val="24"/>
          <w:szCs w:val="20"/>
          <w:lang w:eastAsia="es-ES"/>
        </w:rPr>
        <w:t>sus</w:t>
      </w:r>
      <w:r w:rsidRPr="008F723D">
        <w:rPr>
          <w:rFonts w:ascii="Times New Roman" w:eastAsia="Times New Roman" w:hAnsi="Times New Roman" w:cs="Times New Roman"/>
          <w:sz w:val="24"/>
          <w:szCs w:val="20"/>
          <w:lang w:eastAsia="es-ES"/>
        </w:rPr>
        <w:t xml:space="preserve"> determinaciones</w:t>
      </w:r>
      <w:r>
        <w:rPr>
          <w:rFonts w:ascii="Times New Roman" w:eastAsia="Times New Roman" w:hAnsi="Times New Roman" w:cs="Times New Roman"/>
          <w:sz w:val="24"/>
          <w:szCs w:val="20"/>
          <w:lang w:eastAsia="es-ES"/>
        </w:rPr>
        <w:t xml:space="preserve"> a é</w:t>
      </w:r>
      <w:r w:rsidRPr="008F723D">
        <w:rPr>
          <w:rFonts w:ascii="Times New Roman" w:eastAsia="Times New Roman" w:hAnsi="Times New Roman" w:cs="Times New Roman"/>
          <w:sz w:val="24"/>
          <w:szCs w:val="20"/>
          <w:lang w:eastAsia="es-ES"/>
        </w:rPr>
        <w:t xml:space="preserve">stas. </w:t>
      </w:r>
      <w:r>
        <w:rPr>
          <w:rFonts w:ascii="Times New Roman" w:eastAsia="Times New Roman" w:hAnsi="Times New Roman" w:cs="Times New Roman"/>
          <w:sz w:val="24"/>
          <w:szCs w:val="20"/>
          <w:lang w:eastAsia="es-ES"/>
        </w:rPr>
        <w:t>La</w:t>
      </w:r>
      <w:r w:rsidRPr="008F723D">
        <w:rPr>
          <w:rFonts w:ascii="Times New Roman" w:eastAsia="Times New Roman" w:hAnsi="Times New Roman" w:cs="Times New Roman"/>
          <w:sz w:val="24"/>
          <w:szCs w:val="20"/>
          <w:lang w:eastAsia="es-ES"/>
        </w:rPr>
        <w:t xml:space="preserve"> modificación </w:t>
      </w:r>
      <w:r>
        <w:rPr>
          <w:rFonts w:ascii="Times New Roman" w:eastAsia="Times New Roman" w:hAnsi="Times New Roman" w:cs="Times New Roman"/>
          <w:sz w:val="24"/>
          <w:szCs w:val="20"/>
          <w:lang w:eastAsia="es-ES"/>
        </w:rPr>
        <w:t>del contenido</w:t>
      </w:r>
      <w:r w:rsidRPr="008F723D">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del</w:t>
      </w:r>
      <w:r w:rsidRPr="008F723D">
        <w:rPr>
          <w:rFonts w:ascii="Times New Roman" w:eastAsia="Times New Roman" w:hAnsi="Times New Roman" w:cs="Times New Roman"/>
          <w:sz w:val="24"/>
          <w:szCs w:val="20"/>
          <w:lang w:eastAsia="es-ES"/>
        </w:rPr>
        <w:t xml:space="preserve"> plan o proyecto en tramitación para </w:t>
      </w:r>
      <w:r>
        <w:rPr>
          <w:rFonts w:ascii="Times New Roman" w:eastAsia="Times New Roman" w:hAnsi="Times New Roman" w:cs="Times New Roman"/>
          <w:sz w:val="24"/>
          <w:szCs w:val="20"/>
          <w:lang w:eastAsia="es-ES"/>
        </w:rPr>
        <w:t>su adaptación a las</w:t>
      </w:r>
      <w:r w:rsidRPr="008F723D">
        <w:rPr>
          <w:rFonts w:ascii="Times New Roman" w:eastAsia="Times New Roman" w:hAnsi="Times New Roman" w:cs="Times New Roman"/>
          <w:sz w:val="24"/>
          <w:szCs w:val="20"/>
          <w:lang w:eastAsia="es-ES"/>
        </w:rPr>
        <w:t xml:space="preserve"> Directrices de paisaje no implicará </w:t>
      </w:r>
      <w:r>
        <w:rPr>
          <w:rFonts w:ascii="Times New Roman" w:eastAsia="Times New Roman" w:hAnsi="Times New Roman" w:cs="Times New Roman"/>
          <w:sz w:val="24"/>
          <w:szCs w:val="20"/>
          <w:lang w:eastAsia="es-ES"/>
        </w:rPr>
        <w:t>la</w:t>
      </w:r>
      <w:r w:rsidRPr="008F723D">
        <w:rPr>
          <w:rFonts w:ascii="Times New Roman" w:eastAsia="Times New Roman" w:hAnsi="Times New Roman" w:cs="Times New Roman"/>
          <w:sz w:val="24"/>
          <w:szCs w:val="20"/>
          <w:lang w:eastAsia="es-ES"/>
        </w:rPr>
        <w:t xml:space="preserve"> necesidad de someterlo a </w:t>
      </w:r>
      <w:r>
        <w:rPr>
          <w:rFonts w:ascii="Times New Roman" w:eastAsia="Times New Roman" w:hAnsi="Times New Roman" w:cs="Times New Roman"/>
          <w:sz w:val="24"/>
          <w:szCs w:val="20"/>
          <w:lang w:eastAsia="es-ES"/>
        </w:rPr>
        <w:t>nueva</w:t>
      </w:r>
      <w:r w:rsidRPr="008F723D">
        <w:rPr>
          <w:rFonts w:ascii="Times New Roman" w:eastAsia="Times New Roman" w:hAnsi="Times New Roman" w:cs="Times New Roman"/>
          <w:sz w:val="24"/>
          <w:szCs w:val="20"/>
          <w:lang w:eastAsia="es-ES"/>
        </w:rPr>
        <w:t xml:space="preserve"> información pública.</w:t>
      </w:r>
    </w:p>
    <w:p w:rsidR="008F723D"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8F723D">
        <w:rPr>
          <w:rFonts w:ascii="Times New Roman" w:eastAsia="Times New Roman" w:hAnsi="Times New Roman" w:cs="Times New Roman"/>
          <w:sz w:val="24"/>
          <w:szCs w:val="20"/>
          <w:lang w:eastAsia="es-ES"/>
        </w:rPr>
        <w:lastRenderedPageBreak/>
        <w:t xml:space="preserve"> </w:t>
      </w:r>
      <w:r>
        <w:rPr>
          <w:rFonts w:ascii="Times New Roman" w:eastAsia="Times New Roman" w:hAnsi="Times New Roman" w:cs="Times New Roman"/>
          <w:sz w:val="24"/>
          <w:szCs w:val="20"/>
          <w:lang w:eastAsia="es-ES"/>
        </w:rPr>
        <w:t>Se habilita al Departamento competente en materia de medio ambiente a dictar las disposiciones precisas para incorporar nuevos indicadores de calidad paisajística para el control y seguimiento del estado de la evolución de las unidades del paisaje, así como a actualizar las medidas y acciones específicas para alcanzar los objetivos de calidad y de recuperación para los ámbitos de especial atención paisajística.</w:t>
      </w:r>
    </w:p>
    <w:p w:rsidR="008F723D"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Está compuesto de 4 anexos, a razón de:</w:t>
      </w:r>
    </w:p>
    <w:p w:rsidR="008F723D"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 xml:space="preserve">ANEXO I: </w:t>
      </w:r>
      <w:r>
        <w:rPr>
          <w:rFonts w:ascii="Times New Roman" w:eastAsia="Times New Roman" w:hAnsi="Times New Roman" w:cs="Times New Roman"/>
          <w:sz w:val="24"/>
          <w:szCs w:val="20"/>
          <w:lang w:eastAsia="es-ES"/>
        </w:rPr>
        <w:t>Objetivos de calidad paisajística para cada unidad de paisaje.</w:t>
      </w:r>
    </w:p>
    <w:p w:rsidR="008F723D" w:rsidRPr="003D5E64"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 xml:space="preserve">ANEXO II: Medidas </w:t>
      </w:r>
      <w:r>
        <w:rPr>
          <w:rFonts w:ascii="Times New Roman" w:eastAsia="Times New Roman" w:hAnsi="Times New Roman" w:cs="Times New Roman"/>
          <w:sz w:val="24"/>
          <w:szCs w:val="20"/>
          <w:lang w:eastAsia="es-ES"/>
        </w:rPr>
        <w:t>y acciones</w:t>
      </w:r>
      <w:r w:rsidRPr="003D5E64">
        <w:rPr>
          <w:rFonts w:ascii="Times New Roman" w:eastAsia="Times New Roman" w:hAnsi="Times New Roman" w:cs="Times New Roman"/>
          <w:sz w:val="24"/>
          <w:szCs w:val="20"/>
          <w:lang w:eastAsia="es-ES"/>
        </w:rPr>
        <w:t xml:space="preserve"> específicas para </w:t>
      </w:r>
      <w:r>
        <w:rPr>
          <w:rFonts w:ascii="Times New Roman" w:eastAsia="Times New Roman" w:hAnsi="Times New Roman" w:cs="Times New Roman"/>
          <w:sz w:val="24"/>
          <w:szCs w:val="20"/>
          <w:lang w:eastAsia="es-ES"/>
        </w:rPr>
        <w:t>alcanzar</w:t>
      </w:r>
      <w:r w:rsidRPr="003D5E64">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l</w:t>
      </w:r>
      <w:r w:rsidRPr="003D5E64">
        <w:rPr>
          <w:rFonts w:ascii="Times New Roman" w:eastAsia="Times New Roman" w:hAnsi="Times New Roman" w:cs="Times New Roman"/>
          <w:sz w:val="24"/>
          <w:szCs w:val="20"/>
          <w:lang w:eastAsia="es-ES"/>
        </w:rPr>
        <w:t xml:space="preserve">os objetivos de calidad </w:t>
      </w:r>
      <w:r>
        <w:rPr>
          <w:rFonts w:ascii="Times New Roman" w:eastAsia="Times New Roman" w:hAnsi="Times New Roman" w:cs="Times New Roman"/>
          <w:sz w:val="24"/>
          <w:szCs w:val="20"/>
          <w:lang w:eastAsia="es-ES"/>
        </w:rPr>
        <w:t>y</w:t>
      </w:r>
      <w:r w:rsidRPr="003D5E64">
        <w:rPr>
          <w:rFonts w:ascii="Times New Roman" w:eastAsia="Times New Roman" w:hAnsi="Times New Roman" w:cs="Times New Roman"/>
          <w:sz w:val="24"/>
          <w:szCs w:val="20"/>
          <w:lang w:eastAsia="es-ES"/>
        </w:rPr>
        <w:t xml:space="preserve"> de</w:t>
      </w:r>
      <w:r>
        <w:rPr>
          <w:rFonts w:ascii="Times New Roman" w:eastAsia="Times New Roman" w:hAnsi="Times New Roman" w:cs="Times New Roman"/>
          <w:sz w:val="24"/>
          <w:szCs w:val="20"/>
          <w:lang w:eastAsia="es-ES"/>
        </w:rPr>
        <w:t xml:space="preserve"> </w:t>
      </w:r>
      <w:r w:rsidRPr="003D5E64">
        <w:rPr>
          <w:rFonts w:ascii="Times New Roman" w:eastAsia="Times New Roman" w:hAnsi="Times New Roman" w:cs="Times New Roman"/>
          <w:sz w:val="24"/>
          <w:szCs w:val="20"/>
          <w:lang w:eastAsia="es-ES"/>
        </w:rPr>
        <w:t xml:space="preserve">recuperación para </w:t>
      </w:r>
      <w:r>
        <w:rPr>
          <w:rFonts w:ascii="Times New Roman" w:eastAsia="Times New Roman" w:hAnsi="Times New Roman" w:cs="Times New Roman"/>
          <w:sz w:val="24"/>
          <w:szCs w:val="20"/>
          <w:lang w:eastAsia="es-ES"/>
        </w:rPr>
        <w:t>l</w:t>
      </w:r>
      <w:r w:rsidRPr="003D5E64">
        <w:rPr>
          <w:rFonts w:ascii="Times New Roman" w:eastAsia="Times New Roman" w:hAnsi="Times New Roman" w:cs="Times New Roman"/>
          <w:sz w:val="24"/>
          <w:szCs w:val="20"/>
          <w:lang w:eastAsia="es-ES"/>
        </w:rPr>
        <w:t>os ámbitos de especial atención paisajística.</w:t>
      </w:r>
    </w:p>
    <w:p w:rsidR="008F723D" w:rsidRPr="003D5E64"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ANEXO III: Indicadores de calidad paisajística</w:t>
      </w:r>
      <w:r>
        <w:rPr>
          <w:rFonts w:ascii="Times New Roman" w:eastAsia="Times New Roman" w:hAnsi="Times New Roman" w:cs="Times New Roman"/>
          <w:sz w:val="24"/>
          <w:szCs w:val="20"/>
          <w:lang w:eastAsia="es-ES"/>
        </w:rPr>
        <w:t xml:space="preserve"> para o control y</w:t>
      </w:r>
      <w:r w:rsidRPr="003D5E64">
        <w:rPr>
          <w:rFonts w:ascii="Times New Roman" w:eastAsia="Times New Roman" w:hAnsi="Times New Roman" w:cs="Times New Roman"/>
          <w:sz w:val="24"/>
          <w:szCs w:val="20"/>
          <w:lang w:eastAsia="es-ES"/>
        </w:rPr>
        <w:t xml:space="preserve"> seguimiento d</w:t>
      </w:r>
      <w:r>
        <w:rPr>
          <w:rFonts w:ascii="Times New Roman" w:eastAsia="Times New Roman" w:hAnsi="Times New Roman" w:cs="Times New Roman"/>
          <w:sz w:val="24"/>
          <w:szCs w:val="20"/>
          <w:lang w:eastAsia="es-ES"/>
        </w:rPr>
        <w:t>el</w:t>
      </w:r>
      <w:r w:rsidRPr="003D5E64">
        <w:rPr>
          <w:rFonts w:ascii="Times New Roman" w:eastAsia="Times New Roman" w:hAnsi="Times New Roman" w:cs="Times New Roman"/>
          <w:sz w:val="24"/>
          <w:szCs w:val="20"/>
          <w:lang w:eastAsia="es-ES"/>
        </w:rPr>
        <w:t xml:space="preserve"> estado</w:t>
      </w:r>
      <w:r>
        <w:rPr>
          <w:rFonts w:ascii="Times New Roman" w:eastAsia="Times New Roman" w:hAnsi="Times New Roman" w:cs="Times New Roman"/>
          <w:sz w:val="24"/>
          <w:szCs w:val="20"/>
          <w:lang w:eastAsia="es-ES"/>
        </w:rPr>
        <w:t xml:space="preserve"> y de la </w:t>
      </w:r>
      <w:r w:rsidRPr="003D5E64">
        <w:rPr>
          <w:rFonts w:ascii="Times New Roman" w:eastAsia="Times New Roman" w:hAnsi="Times New Roman" w:cs="Times New Roman"/>
          <w:sz w:val="24"/>
          <w:szCs w:val="20"/>
          <w:lang w:eastAsia="es-ES"/>
        </w:rPr>
        <w:t xml:space="preserve">evolución </w:t>
      </w:r>
      <w:r>
        <w:rPr>
          <w:rFonts w:ascii="Times New Roman" w:eastAsia="Times New Roman" w:hAnsi="Times New Roman" w:cs="Times New Roman"/>
          <w:sz w:val="24"/>
          <w:szCs w:val="20"/>
          <w:lang w:eastAsia="es-ES"/>
        </w:rPr>
        <w:t xml:space="preserve">de las </w:t>
      </w:r>
      <w:r w:rsidRPr="003D5E64">
        <w:rPr>
          <w:rFonts w:ascii="Times New Roman" w:eastAsia="Times New Roman" w:hAnsi="Times New Roman" w:cs="Times New Roman"/>
          <w:sz w:val="24"/>
          <w:szCs w:val="20"/>
          <w:lang w:eastAsia="es-ES"/>
        </w:rPr>
        <w:t>unidades de paisaje.</w:t>
      </w:r>
    </w:p>
    <w:p w:rsidR="008F723D" w:rsidRDefault="008F723D" w:rsidP="008F723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 xml:space="preserve">ANEXO IV: Normas </w:t>
      </w:r>
      <w:r>
        <w:rPr>
          <w:rFonts w:ascii="Times New Roman" w:eastAsia="Times New Roman" w:hAnsi="Times New Roman" w:cs="Times New Roman"/>
          <w:sz w:val="24"/>
          <w:szCs w:val="20"/>
          <w:lang w:eastAsia="es-ES"/>
        </w:rPr>
        <w:t>y</w:t>
      </w:r>
      <w:r w:rsidRPr="003D5E64">
        <w:rPr>
          <w:rFonts w:ascii="Times New Roman" w:eastAsia="Times New Roman" w:hAnsi="Times New Roman" w:cs="Times New Roman"/>
          <w:sz w:val="24"/>
          <w:szCs w:val="20"/>
          <w:lang w:eastAsia="es-ES"/>
        </w:rPr>
        <w:t xml:space="preserve"> recomendaciones.</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 </w:t>
      </w:r>
      <w:r w:rsidRPr="001545A4">
        <w:rPr>
          <w:rFonts w:ascii="Times New Roman" w:eastAsia="Times New Roman" w:hAnsi="Times New Roman" w:cs="Times New Roman"/>
          <w:b/>
          <w:sz w:val="24"/>
          <w:szCs w:val="20"/>
          <w:u w:val="single"/>
          <w:lang w:eastAsia="es-ES"/>
        </w:rPr>
        <w:t>Ley 6/2021, de 17 de febrero, de residuos y suelos contaminados de Galicia</w:t>
      </w:r>
      <w:r w:rsidRPr="001545A4">
        <w:rPr>
          <w:rFonts w:ascii="Times New Roman" w:eastAsia="Times New Roman" w:hAnsi="Times New Roman" w:cs="Times New Roman"/>
          <w:sz w:val="24"/>
          <w:szCs w:val="20"/>
          <w:lang w:eastAsia="es-ES"/>
        </w:rPr>
        <w:t>. (DOG núm. 38, de 25 de febrero).</w:t>
      </w:r>
    </w:p>
    <w:p w:rsidR="003D5E64" w:rsidRPr="003D5E64" w:rsidRDefault="003D5E64" w:rsidP="003D5E6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artículo 70 de esta ley se refiere a la relación de los suelos contaminados con el planeamiento urbanístico. En este sentido, el precepto manifiesta que la </w:t>
      </w:r>
      <w:r w:rsidRPr="003D5E64">
        <w:rPr>
          <w:rFonts w:ascii="Times New Roman" w:eastAsia="Times New Roman" w:hAnsi="Times New Roman" w:cs="Times New Roman"/>
          <w:sz w:val="24"/>
          <w:szCs w:val="20"/>
          <w:lang w:eastAsia="es-ES"/>
        </w:rPr>
        <w:t>ejecución de desarrollos urbanísticos en los ámbitos que incluyan suelos contaminados podrá verse condicionada en tanto el órgano de la Administración general de la Comunidad Autónoma de Galicia competente en materia de suelos contaminados no declare que los suelos han dejado de tener tal consideración.</w:t>
      </w:r>
    </w:p>
    <w:p w:rsidR="003D5E64" w:rsidRPr="003D5E64" w:rsidRDefault="003D5E64" w:rsidP="003D5E6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 xml:space="preserve">En relación con </w:t>
      </w:r>
      <w:r>
        <w:rPr>
          <w:rFonts w:ascii="Times New Roman" w:eastAsia="Times New Roman" w:hAnsi="Times New Roman" w:cs="Times New Roman"/>
          <w:sz w:val="24"/>
          <w:szCs w:val="20"/>
          <w:lang w:eastAsia="es-ES"/>
        </w:rPr>
        <w:t>estos</w:t>
      </w:r>
      <w:r w:rsidRPr="003D5E64">
        <w:rPr>
          <w:rFonts w:ascii="Times New Roman" w:eastAsia="Times New Roman" w:hAnsi="Times New Roman" w:cs="Times New Roman"/>
          <w:sz w:val="24"/>
          <w:szCs w:val="20"/>
          <w:lang w:eastAsia="es-ES"/>
        </w:rPr>
        <w:t xml:space="preserve"> suelos y </w:t>
      </w:r>
      <w:r>
        <w:rPr>
          <w:rFonts w:ascii="Times New Roman" w:eastAsia="Times New Roman" w:hAnsi="Times New Roman" w:cs="Times New Roman"/>
          <w:sz w:val="24"/>
          <w:szCs w:val="20"/>
          <w:lang w:eastAsia="es-ES"/>
        </w:rPr>
        <w:t>a fin</w:t>
      </w:r>
      <w:r w:rsidRPr="003D5E64">
        <w:rPr>
          <w:rFonts w:ascii="Times New Roman" w:eastAsia="Times New Roman" w:hAnsi="Times New Roman" w:cs="Times New Roman"/>
          <w:sz w:val="24"/>
          <w:szCs w:val="20"/>
          <w:lang w:eastAsia="es-ES"/>
        </w:rPr>
        <w:t xml:space="preserve"> de determinar la viabilidad de los usos previstos en el ámbito que se pretenda desarrollar, los ayuntamientos, en la tramitación del correspondiente instrumento de planeamiento urbanístico:</w:t>
      </w:r>
    </w:p>
    <w:p w:rsidR="003D5E64" w:rsidRPr="003D5E64" w:rsidRDefault="003D5E64" w:rsidP="003D5E64">
      <w:pPr>
        <w:pStyle w:val="Prrafodelista"/>
        <w:numPr>
          <w:ilvl w:val="0"/>
          <w:numId w:val="20"/>
        </w:numPr>
        <w:tabs>
          <w:tab w:val="left" w:pos="-2268"/>
        </w:tabs>
        <w:spacing w:before="240" w:after="0" w:line="360" w:lineRule="auto"/>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Presentarán dentro del procedimiento de evaluación ambiental de aquel, junto con la documentación exigida por la normativa de aplicación, un informe de la calidad del suelo.</w:t>
      </w:r>
    </w:p>
    <w:p w:rsidR="001545A4" w:rsidRPr="003D5E64" w:rsidRDefault="003D5E64" w:rsidP="003D5E64">
      <w:pPr>
        <w:pStyle w:val="Prrafodelista"/>
        <w:numPr>
          <w:ilvl w:val="0"/>
          <w:numId w:val="20"/>
        </w:numPr>
        <w:tabs>
          <w:tab w:val="left" w:pos="-2268"/>
        </w:tabs>
        <w:spacing w:before="240" w:after="0" w:line="360" w:lineRule="auto"/>
        <w:jc w:val="both"/>
        <w:rPr>
          <w:rFonts w:ascii="Times New Roman" w:eastAsia="Times New Roman" w:hAnsi="Times New Roman" w:cs="Times New Roman"/>
          <w:sz w:val="24"/>
          <w:szCs w:val="20"/>
          <w:lang w:eastAsia="es-ES"/>
        </w:rPr>
      </w:pPr>
      <w:r w:rsidRPr="003D5E64">
        <w:rPr>
          <w:rFonts w:ascii="Times New Roman" w:eastAsia="Times New Roman" w:hAnsi="Times New Roman" w:cs="Times New Roman"/>
          <w:sz w:val="24"/>
          <w:szCs w:val="20"/>
          <w:lang w:eastAsia="es-ES"/>
        </w:rPr>
        <w:t xml:space="preserve">Remitirán el instrumento de planeamiento urbanístico, previa aprobación inicial, al órgano de la Administración general de la Comunidad Autónoma de </w:t>
      </w:r>
      <w:r w:rsidRPr="003D5E64">
        <w:rPr>
          <w:rFonts w:ascii="Times New Roman" w:eastAsia="Times New Roman" w:hAnsi="Times New Roman" w:cs="Times New Roman"/>
          <w:sz w:val="24"/>
          <w:szCs w:val="20"/>
          <w:lang w:eastAsia="es-ES"/>
        </w:rPr>
        <w:lastRenderedPageBreak/>
        <w:t>Galicia competente en materia de suelos contaminados, que deberá emitir informe en el plazo de tres meses</w:t>
      </w:r>
      <w:r>
        <w:rPr>
          <w:rFonts w:ascii="Times New Roman" w:eastAsia="Times New Roman" w:hAnsi="Times New Roman" w:cs="Times New Roman"/>
          <w:sz w:val="24"/>
          <w:szCs w:val="20"/>
          <w:lang w:eastAsia="es-ES"/>
        </w:rPr>
        <w:t xml:space="preserve">, transcurrido el cual, sin emisión del mismo, </w:t>
      </w:r>
      <w:r w:rsidRPr="003D5E64">
        <w:rPr>
          <w:rFonts w:ascii="Times New Roman" w:eastAsia="Times New Roman" w:hAnsi="Times New Roman" w:cs="Times New Roman"/>
          <w:sz w:val="24"/>
          <w:szCs w:val="20"/>
          <w:lang w:eastAsia="es-ES"/>
        </w:rPr>
        <w:t xml:space="preserve">se entenderá favorable. </w:t>
      </w:r>
      <w:r>
        <w:rPr>
          <w:rFonts w:ascii="Times New Roman" w:eastAsia="Times New Roman" w:hAnsi="Times New Roman" w:cs="Times New Roman"/>
          <w:sz w:val="24"/>
          <w:szCs w:val="20"/>
          <w:lang w:eastAsia="es-ES"/>
        </w:rPr>
        <w:t xml:space="preserve">Si el informe es </w:t>
      </w:r>
      <w:r w:rsidRPr="003D5E64">
        <w:rPr>
          <w:rFonts w:ascii="Times New Roman" w:eastAsia="Times New Roman" w:hAnsi="Times New Roman" w:cs="Times New Roman"/>
          <w:sz w:val="24"/>
          <w:szCs w:val="20"/>
          <w:lang w:eastAsia="es-ES"/>
        </w:rPr>
        <w:t>desfavorable, indicará expresamente las normas vulneradas.</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 </w:t>
      </w:r>
      <w:r w:rsidRPr="001545A4">
        <w:rPr>
          <w:rFonts w:ascii="Times New Roman" w:eastAsia="Times New Roman" w:hAnsi="Times New Roman" w:cs="Times New Roman"/>
          <w:b/>
          <w:sz w:val="24"/>
          <w:szCs w:val="20"/>
          <w:u w:val="single"/>
          <w:lang w:eastAsia="es-ES"/>
        </w:rPr>
        <w:t>Ley 9/2021, de 25 de febrero, de simplificación administrativa y de apoyo a la reactivación económica de Galicia</w:t>
      </w:r>
      <w:r w:rsidRPr="001545A4">
        <w:rPr>
          <w:rFonts w:ascii="Times New Roman" w:eastAsia="Times New Roman" w:hAnsi="Times New Roman" w:cs="Times New Roman"/>
          <w:sz w:val="24"/>
          <w:szCs w:val="20"/>
          <w:lang w:eastAsia="es-ES"/>
        </w:rPr>
        <w:t>. (DOG núm. 39, de 26 de febrero, corrección de errores DOG núm. 51, de 16 de marzo).</w:t>
      </w:r>
    </w:p>
    <w:p w:rsidR="001545A4" w:rsidRDefault="006E6D5D"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Merecen destacar de esta ley varios aspectos. </w:t>
      </w:r>
    </w:p>
    <w:p w:rsidR="006E6D5D" w:rsidRDefault="006E6D5D"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primer lugar, el Capítulo I del Título III se refiere a la simplificación administrativa autonómica. En segundo lugar,</w:t>
      </w:r>
      <w:r w:rsidR="00A12F6F">
        <w:rPr>
          <w:rFonts w:ascii="Times New Roman" w:eastAsia="Times New Roman" w:hAnsi="Times New Roman" w:cs="Times New Roman"/>
          <w:sz w:val="24"/>
          <w:szCs w:val="20"/>
          <w:lang w:eastAsia="es-ES"/>
        </w:rPr>
        <w:t xml:space="preserve"> establece diversas medidas urbanísticas y, finalmente, se incluyen varias</w:t>
      </w:r>
      <w:r>
        <w:rPr>
          <w:rFonts w:ascii="Times New Roman" w:eastAsia="Times New Roman" w:hAnsi="Times New Roman" w:cs="Times New Roman"/>
          <w:sz w:val="24"/>
          <w:szCs w:val="20"/>
          <w:lang w:eastAsia="es-ES"/>
        </w:rPr>
        <w:t xml:space="preserve"> disposiciones finales dedica</w:t>
      </w:r>
      <w:r w:rsidR="00A12F6F">
        <w:rPr>
          <w:rFonts w:ascii="Times New Roman" w:eastAsia="Times New Roman" w:hAnsi="Times New Roman" w:cs="Times New Roman"/>
          <w:sz w:val="24"/>
          <w:szCs w:val="20"/>
          <w:lang w:eastAsia="es-ES"/>
        </w:rPr>
        <w:t>das</w:t>
      </w:r>
      <w:r>
        <w:rPr>
          <w:rFonts w:ascii="Times New Roman" w:eastAsia="Times New Roman" w:hAnsi="Times New Roman" w:cs="Times New Roman"/>
          <w:sz w:val="24"/>
          <w:szCs w:val="20"/>
          <w:lang w:eastAsia="es-ES"/>
        </w:rPr>
        <w:t xml:space="preserve"> a introducir modificaciones en la normativa sectorial.</w:t>
      </w:r>
    </w:p>
    <w:p w:rsidR="00A12F6F" w:rsidRPr="00A12F6F" w:rsidRDefault="00A12F6F" w:rsidP="00A12F6F">
      <w:pPr>
        <w:pStyle w:val="Prrafodelista"/>
        <w:numPr>
          <w:ilvl w:val="0"/>
          <w:numId w:val="13"/>
        </w:numPr>
        <w:tabs>
          <w:tab w:val="left" w:pos="-2268"/>
        </w:tabs>
        <w:spacing w:before="240" w:after="0" w:line="360" w:lineRule="auto"/>
        <w:jc w:val="both"/>
        <w:rPr>
          <w:rFonts w:ascii="Times New Roman" w:eastAsia="Times New Roman" w:hAnsi="Times New Roman" w:cs="Times New Roman"/>
          <w:b/>
          <w:sz w:val="24"/>
          <w:szCs w:val="20"/>
          <w:lang w:eastAsia="es-ES"/>
        </w:rPr>
      </w:pPr>
      <w:r w:rsidRPr="00A12F6F">
        <w:rPr>
          <w:rFonts w:ascii="Times New Roman" w:eastAsia="Times New Roman" w:hAnsi="Times New Roman" w:cs="Times New Roman"/>
          <w:b/>
          <w:sz w:val="24"/>
          <w:szCs w:val="20"/>
          <w:lang w:eastAsia="es-ES"/>
        </w:rPr>
        <w:t>Simplificación administrativa autonómica.</w:t>
      </w:r>
    </w:p>
    <w:p w:rsidR="001545A4" w:rsidRPr="00A12F6F" w:rsidRDefault="006E6D5D" w:rsidP="00A12F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A12F6F">
        <w:rPr>
          <w:rFonts w:ascii="Times New Roman" w:eastAsia="Times New Roman" w:hAnsi="Times New Roman" w:cs="Times New Roman"/>
          <w:sz w:val="24"/>
          <w:szCs w:val="20"/>
          <w:lang w:eastAsia="es-ES"/>
        </w:rPr>
        <w:t>Con carácter general, manifiesta el art. 23 de la Ley, la implantación de una iniciativa empresarial podrá exigir, en función de las afecciones que se deriven de su implantación física en el territorio, cuando así lo establezca la normativa sectorial aplicable, la emisión con carácter preceptivo de uno o varios de los siguientes informes: son los competentes en materia de urbanismo, conservación del patrimonio rural, patrimonio cultural, planificación hidrológica y de dominio público hidráulico, protección del paisaje</w:t>
      </w:r>
      <w:r w:rsidR="00A12F6F" w:rsidRPr="00A12F6F">
        <w:rPr>
          <w:rFonts w:ascii="Times New Roman" w:eastAsia="Times New Roman" w:hAnsi="Times New Roman" w:cs="Times New Roman"/>
          <w:sz w:val="24"/>
          <w:szCs w:val="20"/>
          <w:lang w:eastAsia="es-ES"/>
        </w:rPr>
        <w:t>, salud pública, prevención y gestión de riesgos, turismo, infraestructuras y obras públicas, montes, etc… Estos informes tendrán carácter preceptivo y vinculante, cuando así lo establezca la legislación sectorial aplicable, en cualquier procedimiento que pueda afectar a la implantación de las iniciativas empresariales en el territorio.</w:t>
      </w:r>
    </w:p>
    <w:p w:rsidR="001545A4" w:rsidRDefault="00A12F6F"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Como medida de agilización, cuando deban solicitarse varios informes preceptivos en el procedimiento de autorización o declaración de una iniciativa empresarial, la solicitud se realizará de modo simultáneo.</w:t>
      </w:r>
    </w:p>
    <w:p w:rsidR="001545A4" w:rsidRDefault="00A12F6F"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el caso de que un mismo órgano sectorial deba emitir varios informes, con varios efectos, emitirá un único informe que abarque los distintos aspectos sobre los que deba pronunciarse.</w:t>
      </w:r>
    </w:p>
    <w:p w:rsidR="001545A4" w:rsidRDefault="00A12F6F"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Los informes no tendrán carácter sucesivo, de manera que la emisión de uno no esté condicionada por la expedición previa del informe de otro órgano sectorial.</w:t>
      </w:r>
    </w:p>
    <w:p w:rsidR="001545A4" w:rsidRDefault="00A12F6F"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Ley también favorece la tramitación conjunta y la conservación de trámites.</w:t>
      </w:r>
    </w:p>
    <w:p w:rsidR="001545A4" w:rsidRDefault="00A12F6F"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Establece medidas de racionalización de los procedimientos de evaluación ambiental.</w:t>
      </w:r>
    </w:p>
    <w:p w:rsidR="00A12F6F" w:rsidRPr="00A12F6F" w:rsidRDefault="00A12F6F" w:rsidP="00A12F6F">
      <w:pPr>
        <w:pStyle w:val="Prrafodelista"/>
        <w:numPr>
          <w:ilvl w:val="0"/>
          <w:numId w:val="13"/>
        </w:numPr>
        <w:tabs>
          <w:tab w:val="left" w:pos="-2268"/>
        </w:tabs>
        <w:spacing w:before="240" w:after="0" w:line="36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Medidas urbanísticas</w:t>
      </w:r>
      <w:r w:rsidRPr="00A12F6F">
        <w:rPr>
          <w:rFonts w:ascii="Times New Roman" w:eastAsia="Times New Roman" w:hAnsi="Times New Roman" w:cs="Times New Roman"/>
          <w:b/>
          <w:sz w:val="24"/>
          <w:szCs w:val="20"/>
          <w:lang w:eastAsia="es-ES"/>
        </w:rPr>
        <w:t>.</w:t>
      </w:r>
    </w:p>
    <w:p w:rsidR="00FD71D0" w:rsidRDefault="00A12F6F" w:rsidP="00FD71D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el Título IV se regulan medidas urbanísticas y de financiación de la reactivación económica.</w:t>
      </w:r>
      <w:r w:rsidR="00C809AC">
        <w:rPr>
          <w:rFonts w:ascii="Times New Roman" w:eastAsia="Times New Roman" w:hAnsi="Times New Roman" w:cs="Times New Roman"/>
          <w:sz w:val="24"/>
          <w:szCs w:val="20"/>
          <w:lang w:eastAsia="es-ES"/>
        </w:rPr>
        <w:t xml:space="preserve"> </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Dejando aparte los instrumentos específicos de financiación para actividades empresariales</w:t>
      </w:r>
      <w:r w:rsidR="00FD71D0">
        <w:rPr>
          <w:rFonts w:ascii="Times New Roman" w:eastAsia="Times New Roman" w:hAnsi="Times New Roman" w:cs="Times New Roman"/>
          <w:sz w:val="24"/>
          <w:szCs w:val="20"/>
          <w:lang w:eastAsia="es-ES"/>
        </w:rPr>
        <w:t xml:space="preserve">, que no son objeto de este informe, en relación con los </w:t>
      </w:r>
      <w:r w:rsidR="00FD71D0" w:rsidRPr="00FD71D0">
        <w:rPr>
          <w:rFonts w:ascii="Times New Roman" w:eastAsia="Times New Roman" w:hAnsi="Times New Roman" w:cs="Times New Roman"/>
          <w:sz w:val="24"/>
          <w:szCs w:val="20"/>
          <w:lang w:eastAsia="es-ES"/>
        </w:rPr>
        <w:t>t</w:t>
      </w:r>
      <w:r w:rsidRPr="00FD71D0">
        <w:rPr>
          <w:rFonts w:ascii="Times New Roman" w:eastAsia="Times New Roman" w:hAnsi="Times New Roman" w:cs="Times New Roman"/>
          <w:sz w:val="24"/>
          <w:szCs w:val="20"/>
          <w:lang w:eastAsia="es-ES"/>
        </w:rPr>
        <w:t>ítulos habilitantes urbanísticos de competencia municipal</w:t>
      </w:r>
      <w:r w:rsidR="00FD71D0">
        <w:rPr>
          <w:rFonts w:ascii="Times New Roman" w:eastAsia="Times New Roman" w:hAnsi="Times New Roman" w:cs="Times New Roman"/>
          <w:sz w:val="24"/>
          <w:szCs w:val="20"/>
          <w:lang w:eastAsia="es-ES"/>
        </w:rPr>
        <w:t>,</w:t>
      </w:r>
      <w:r>
        <w:rPr>
          <w:rFonts w:ascii="Times New Roman" w:eastAsia="Times New Roman" w:hAnsi="Times New Roman" w:cs="Times New Roman"/>
          <w:sz w:val="24"/>
          <w:szCs w:val="20"/>
          <w:lang w:eastAsia="es-ES"/>
        </w:rPr>
        <w:t xml:space="preserve"> la Ley dispone que l</w:t>
      </w:r>
      <w:r w:rsidRPr="00C809AC">
        <w:rPr>
          <w:rFonts w:ascii="Times New Roman" w:eastAsia="Times New Roman" w:hAnsi="Times New Roman" w:cs="Times New Roman"/>
          <w:sz w:val="24"/>
          <w:szCs w:val="20"/>
          <w:lang w:eastAsia="es-ES"/>
        </w:rPr>
        <w:t>as solicitudes de licencia y las comunicaciones que tengan por objeto actos de edificación o de uso del suelo o del subsuelo, para la implantación de las iniciativas empresariales y para las actuaciones de desarrollo de suelo empresarial o residencial, podrán presentarse acompañadas de una certificación de conformidad a la legalidad urbanística y al planeamiento aplicable, emitida por una entidad de certificación de conformidad municipal de las previstas en el capítulo IV del título III de la Ley 9/2013, de 19 de diciembre, del emprendimiento y de la competitividad económica de Galicia.</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 xml:space="preserve">Cuando una solicitud de licencia urbanística se presente acompañada de </w:t>
      </w:r>
      <w:r>
        <w:rPr>
          <w:rFonts w:ascii="Times New Roman" w:eastAsia="Times New Roman" w:hAnsi="Times New Roman" w:cs="Times New Roman"/>
          <w:sz w:val="24"/>
          <w:szCs w:val="20"/>
          <w:lang w:eastAsia="es-ES"/>
        </w:rPr>
        <w:t>esta</w:t>
      </w:r>
      <w:r w:rsidRPr="00C809AC">
        <w:rPr>
          <w:rFonts w:ascii="Times New Roman" w:eastAsia="Times New Roman" w:hAnsi="Times New Roman" w:cs="Times New Roman"/>
          <w:sz w:val="24"/>
          <w:szCs w:val="20"/>
          <w:lang w:eastAsia="es-ES"/>
        </w:rPr>
        <w:t xml:space="preserve"> certificación, los informes técnicos y jurídicos municipales sobre la conformidad de la solicitud con la legalidad urbanística previstos </w:t>
      </w:r>
      <w:r>
        <w:rPr>
          <w:rFonts w:ascii="Times New Roman" w:eastAsia="Times New Roman" w:hAnsi="Times New Roman" w:cs="Times New Roman"/>
          <w:sz w:val="24"/>
          <w:szCs w:val="20"/>
          <w:lang w:eastAsia="es-ES"/>
        </w:rPr>
        <w:t>en</w:t>
      </w:r>
      <w:r w:rsidRPr="00C809AC">
        <w:rPr>
          <w:rFonts w:ascii="Times New Roman" w:eastAsia="Times New Roman" w:hAnsi="Times New Roman" w:cs="Times New Roman"/>
          <w:sz w:val="24"/>
          <w:szCs w:val="20"/>
          <w:lang w:eastAsia="es-ES"/>
        </w:rPr>
        <w:t xml:space="preserve"> la Ley 2/2016, de 10 de febrero, del suelo de Galicia, serán facultativos y no preceptivos.</w:t>
      </w:r>
      <w:r>
        <w:rPr>
          <w:rFonts w:ascii="Times New Roman" w:eastAsia="Times New Roman" w:hAnsi="Times New Roman" w:cs="Times New Roman"/>
          <w:sz w:val="24"/>
          <w:szCs w:val="20"/>
          <w:lang w:eastAsia="es-ES"/>
        </w:rPr>
        <w:t xml:space="preserve"> En este caso,</w:t>
      </w:r>
      <w:r w:rsidRPr="00C809AC">
        <w:rPr>
          <w:rFonts w:ascii="Times New Roman" w:eastAsia="Times New Roman" w:hAnsi="Times New Roman" w:cs="Times New Roman"/>
          <w:sz w:val="24"/>
          <w:szCs w:val="20"/>
          <w:lang w:eastAsia="es-ES"/>
        </w:rPr>
        <w:t xml:space="preserve"> el plazo de resolución del procedimiento será de un mes, contado desde la presentación de la solicitud con la documentación completa, incluida la certificación de conformidad, en el registro del ayuntamiento, con </w:t>
      </w:r>
      <w:r>
        <w:rPr>
          <w:rFonts w:ascii="Times New Roman" w:eastAsia="Times New Roman" w:hAnsi="Times New Roman" w:cs="Times New Roman"/>
          <w:sz w:val="24"/>
          <w:szCs w:val="20"/>
          <w:lang w:eastAsia="es-ES"/>
        </w:rPr>
        <w:t>varias</w:t>
      </w:r>
      <w:r w:rsidRPr="00C809AC">
        <w:rPr>
          <w:rFonts w:ascii="Times New Roman" w:eastAsia="Times New Roman" w:hAnsi="Times New Roman" w:cs="Times New Roman"/>
          <w:sz w:val="24"/>
          <w:szCs w:val="20"/>
          <w:lang w:eastAsia="es-ES"/>
        </w:rPr>
        <w:t xml:space="preserve"> excepciones</w:t>
      </w:r>
      <w:r>
        <w:rPr>
          <w:rFonts w:ascii="Times New Roman" w:eastAsia="Times New Roman" w:hAnsi="Times New Roman" w:cs="Times New Roman"/>
          <w:sz w:val="24"/>
          <w:szCs w:val="20"/>
          <w:lang w:eastAsia="es-ES"/>
        </w:rPr>
        <w:t xml:space="preserve">, en las que el plazo de resolución será de 15 días: </w:t>
      </w:r>
    </w:p>
    <w:p w:rsidR="00C809AC" w:rsidRPr="00C809AC" w:rsidRDefault="00C809AC" w:rsidP="00C809AC">
      <w:pPr>
        <w:pStyle w:val="Prrafodelista"/>
        <w:numPr>
          <w:ilvl w:val="0"/>
          <w:numId w:val="16"/>
        </w:numPr>
        <w:tabs>
          <w:tab w:val="left" w:pos="-2268"/>
        </w:tabs>
        <w:spacing w:before="240" w:after="0" w:line="360" w:lineRule="auto"/>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 xml:space="preserve">Las obras que se realicen en los establecimientos de hostelería y turísticos con el fin de aumentar el distanciamiento social o adecuar las instalaciones a los protocolos sanitarios o a las normas que regulen las limitaciones o las restricciones de carácter sanitario, siempre que no supongan un aumento del volumen edificado y tengan carácter de rehabilitación, adecuación o </w:t>
      </w:r>
      <w:r w:rsidRPr="00C809AC">
        <w:rPr>
          <w:rFonts w:ascii="Times New Roman" w:eastAsia="Times New Roman" w:hAnsi="Times New Roman" w:cs="Times New Roman"/>
          <w:sz w:val="24"/>
          <w:szCs w:val="20"/>
          <w:lang w:eastAsia="es-ES"/>
        </w:rPr>
        <w:lastRenderedPageBreak/>
        <w:t>reestructuración de los servicios, y se desarrollen en el interior de las edificaciones, incluyendo la cobertura de las terrazas mediante instalaciones desmontables.</w:t>
      </w:r>
    </w:p>
    <w:p w:rsidR="00C809AC" w:rsidRPr="00C809AC" w:rsidRDefault="00C809AC" w:rsidP="00C809AC">
      <w:pPr>
        <w:pStyle w:val="Prrafodelista"/>
        <w:numPr>
          <w:ilvl w:val="0"/>
          <w:numId w:val="16"/>
        </w:numPr>
        <w:tabs>
          <w:tab w:val="left" w:pos="-2268"/>
        </w:tabs>
        <w:spacing w:before="240" w:after="0" w:line="360" w:lineRule="auto"/>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 xml:space="preserve">Los proyectos de instalaciones de producción eléctrica y de autoconsumo </w:t>
      </w:r>
      <w:r>
        <w:rPr>
          <w:rFonts w:ascii="Times New Roman" w:eastAsia="Times New Roman" w:hAnsi="Times New Roman" w:cs="Times New Roman"/>
          <w:sz w:val="24"/>
          <w:szCs w:val="20"/>
          <w:lang w:eastAsia="es-ES"/>
        </w:rPr>
        <w:t>a partir de fuentes renovables</w:t>
      </w:r>
      <w:r w:rsidRPr="00C809AC">
        <w:rPr>
          <w:rFonts w:ascii="Times New Roman" w:eastAsia="Times New Roman" w:hAnsi="Times New Roman" w:cs="Times New Roman"/>
          <w:sz w:val="24"/>
          <w:szCs w:val="20"/>
          <w:lang w:eastAsia="es-ES"/>
        </w:rPr>
        <w:t>.</w:t>
      </w:r>
    </w:p>
    <w:p w:rsidR="00C809AC" w:rsidRPr="00C809AC" w:rsidRDefault="00C809AC" w:rsidP="00C809AC">
      <w:pPr>
        <w:pStyle w:val="Prrafodelista"/>
        <w:numPr>
          <w:ilvl w:val="0"/>
          <w:numId w:val="16"/>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Ac</w:t>
      </w:r>
      <w:r w:rsidRPr="00C809AC">
        <w:rPr>
          <w:rFonts w:ascii="Times New Roman" w:eastAsia="Times New Roman" w:hAnsi="Times New Roman" w:cs="Times New Roman"/>
          <w:sz w:val="24"/>
          <w:szCs w:val="20"/>
          <w:lang w:eastAsia="es-ES"/>
        </w:rPr>
        <w:t>tos de uso del suelo o del subsuelo incluidos en aquellos proyectos de iniciativas empresariales para los que se apruebe un proyecto sectorial para la adecuación del uso del suelo a las infraestructuras o instalaciones que se implanten.</w:t>
      </w:r>
    </w:p>
    <w:p w:rsidR="00C809AC" w:rsidRPr="00C809AC" w:rsidRDefault="00C809AC" w:rsidP="00C809AC">
      <w:pPr>
        <w:pStyle w:val="Prrafodelista"/>
        <w:numPr>
          <w:ilvl w:val="0"/>
          <w:numId w:val="16"/>
        </w:numPr>
        <w:tabs>
          <w:tab w:val="left" w:pos="-2268"/>
        </w:tabs>
        <w:spacing w:before="240" w:after="0" w:line="360" w:lineRule="auto"/>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En los casos de solicitud de licencia urbanística en el suelo empresarial, cuando el ayuntamiento haya emitido informe previo y favorable en los trámites ambientales o urbanísticos de desarrollo de esa categoría de suelo.</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todos estos casos</w:t>
      </w:r>
      <w:r w:rsidRPr="00C809AC">
        <w:rPr>
          <w:rFonts w:ascii="Times New Roman" w:eastAsia="Times New Roman" w:hAnsi="Times New Roman" w:cs="Times New Roman"/>
          <w:sz w:val="24"/>
          <w:szCs w:val="20"/>
          <w:lang w:eastAsia="es-ES"/>
        </w:rPr>
        <w:t>, el órgano municipal competente podrá otorgar la licencia asumiendo la certificación de conformidad a la legalidad urbanística y al planeamiento aplicable de la entidad de certificación de conformidad municipal que acredite expresamente que el proyecto ha sido sometido a esa verificación.</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Cuando una comunicación urbanística se presente acompañada de la documentación exigida en la legislación del suelo y de una certificación de conformidad, habilitará con efectos inmediatos desde su presentación en el registro del ayuntamiento para la realización del acto de uso del suelo o del subsuelo que constituya su objeto, sin perjuicio de las posteriores facultades de comprobación, control e inspección por parte del ayuntamiento respectivo.</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Las entidades de certificación de conformidad municipal serán las únicas responsables frente al ayuntamiento del contenido de las certificaciones emitidas y su actuación sustituye la responsabilidad de las demás personas interesadas.</w:t>
      </w:r>
    </w:p>
    <w:p w:rsidR="00C809AC" w:rsidRPr="00C809AC" w:rsidRDefault="00C809AC" w:rsidP="00C809A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C809AC">
        <w:rPr>
          <w:rFonts w:ascii="Times New Roman" w:eastAsia="Times New Roman" w:hAnsi="Times New Roman" w:cs="Times New Roman"/>
          <w:sz w:val="24"/>
          <w:szCs w:val="20"/>
          <w:lang w:eastAsia="es-ES"/>
        </w:rPr>
        <w:t>A las solicitudes de licencias que se refieran a la ejecución de obras o instalaciones deberá acompañarse el proyecto completo redactado por personal técnico competente, en la forma y con el contenido determinados en la legislación del suelo y demás normativa aplicable.</w:t>
      </w:r>
    </w:p>
    <w:p w:rsidR="00FD71D0" w:rsidRPr="00A12F6F" w:rsidRDefault="00FD71D0" w:rsidP="00FD71D0">
      <w:pPr>
        <w:pStyle w:val="Prrafodelista"/>
        <w:numPr>
          <w:ilvl w:val="0"/>
          <w:numId w:val="13"/>
        </w:numPr>
        <w:tabs>
          <w:tab w:val="left" w:pos="-2268"/>
        </w:tabs>
        <w:spacing w:before="240" w:after="0" w:line="36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Modificación de normativa sectorial</w:t>
      </w:r>
      <w:r w:rsidRPr="00A12F6F">
        <w:rPr>
          <w:rFonts w:ascii="Times New Roman" w:eastAsia="Times New Roman" w:hAnsi="Times New Roman" w:cs="Times New Roman"/>
          <w:b/>
          <w:sz w:val="24"/>
          <w:szCs w:val="20"/>
          <w:lang w:eastAsia="es-ES"/>
        </w:rPr>
        <w:t>.</w:t>
      </w:r>
    </w:p>
    <w:p w:rsidR="00A12F6F" w:rsidRDefault="00FD71D0"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Además de la modificación de la normativa en materia de política industrial, implantación de iniciativas empresariales y comercio interior, en lo que al contenido de este informe afecta, hay que hacer mención de las modificaciones introducidas en la legislación en materia de patrimonio cultural y vivienda.</w:t>
      </w:r>
    </w:p>
    <w:p w:rsidR="00A12F6F" w:rsidRPr="00FD71D0" w:rsidRDefault="00FD71D0" w:rsidP="00FD71D0">
      <w:pPr>
        <w:pStyle w:val="Prrafodelista"/>
        <w:numPr>
          <w:ilvl w:val="0"/>
          <w:numId w:val="17"/>
        </w:numPr>
        <w:tabs>
          <w:tab w:val="left" w:pos="-2268"/>
        </w:tabs>
        <w:spacing w:before="240" w:after="0" w:line="360" w:lineRule="auto"/>
        <w:jc w:val="both"/>
        <w:rPr>
          <w:rFonts w:ascii="Times New Roman" w:eastAsia="Times New Roman" w:hAnsi="Times New Roman" w:cs="Times New Roman"/>
          <w:i/>
          <w:sz w:val="24"/>
          <w:szCs w:val="20"/>
          <w:lang w:eastAsia="es-ES"/>
        </w:rPr>
      </w:pPr>
      <w:r w:rsidRPr="00FD71D0">
        <w:rPr>
          <w:rFonts w:ascii="Times New Roman" w:eastAsia="Times New Roman" w:hAnsi="Times New Roman" w:cs="Times New Roman"/>
          <w:i/>
          <w:sz w:val="24"/>
          <w:szCs w:val="20"/>
          <w:lang w:eastAsia="es-ES"/>
        </w:rPr>
        <w:t xml:space="preserve">Se modifica el art. 34.3 de la Ley 5/2016, de 4 de mayo, de patrimonio cultural de Galicia </w:t>
      </w:r>
    </w:p>
    <w:p w:rsidR="00FD71D0" w:rsidRPr="00FD71D0" w:rsidRDefault="00FD71D0" w:rsidP="00FD71D0">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 estos efectos, “n</w:t>
      </w:r>
      <w:r w:rsidRPr="00FD71D0">
        <w:rPr>
          <w:rFonts w:ascii="Times New Roman" w:eastAsia="Times New Roman" w:hAnsi="Times New Roman" w:cs="Times New Roman"/>
          <w:sz w:val="24"/>
          <w:szCs w:val="20"/>
          <w:lang w:eastAsia="es-ES"/>
        </w:rPr>
        <w:t>o será preceptivo el informe de la consejería con competencias en materia de patrimonio cultural en el caso de los instrumentos de planeamiento urbanístico de desarrollo parcial de ámbitos limitados en los que la entidad local respectiva certifique la constancia de la inexistencia de bienes integrantes del patrimonio cultural de Galicia, basándose en los informes previos, con una antigüedad inferior a cinco años, de la consejería con competencias en materia de patrimonio cultural relativos a otros planes, programas o proyectos que afecten a la totalidad del ámbito que se pretende ordenar y que incluyan un estudio completo del patrimonio cultural.</w:t>
      </w:r>
    </w:p>
    <w:p w:rsidR="00A12F6F" w:rsidRDefault="00FD71D0" w:rsidP="00FD71D0">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Tampoco será</w:t>
      </w:r>
      <w:r w:rsidRPr="00FD71D0">
        <w:rPr>
          <w:rFonts w:ascii="Times New Roman" w:eastAsia="Times New Roman" w:hAnsi="Times New Roman" w:cs="Times New Roman"/>
          <w:sz w:val="24"/>
          <w:szCs w:val="20"/>
          <w:lang w:eastAsia="es-ES"/>
        </w:rPr>
        <w:t xml:space="preserve"> preceptivo </w:t>
      </w:r>
      <w:r>
        <w:rPr>
          <w:rFonts w:ascii="Times New Roman" w:eastAsia="Times New Roman" w:hAnsi="Times New Roman" w:cs="Times New Roman"/>
          <w:sz w:val="24"/>
          <w:szCs w:val="20"/>
          <w:lang w:eastAsia="es-ES"/>
        </w:rPr>
        <w:t>este</w:t>
      </w:r>
      <w:r w:rsidRPr="00FD71D0">
        <w:rPr>
          <w:rFonts w:ascii="Times New Roman" w:eastAsia="Times New Roman" w:hAnsi="Times New Roman" w:cs="Times New Roman"/>
          <w:sz w:val="24"/>
          <w:szCs w:val="20"/>
          <w:lang w:eastAsia="es-ES"/>
        </w:rPr>
        <w:t xml:space="preserve"> informe en los planes, programas y proyectos en suelo rústico, siempre que no afecten al suelo de protección patrimonial, ni afecten a ningún bien declarado de interés cultural o catalogado, su entorno de protección o, en su caso, su zona de amortiguación</w:t>
      </w:r>
      <w:r>
        <w:rPr>
          <w:rFonts w:ascii="Times New Roman" w:eastAsia="Times New Roman" w:hAnsi="Times New Roman" w:cs="Times New Roman"/>
          <w:sz w:val="24"/>
          <w:szCs w:val="20"/>
          <w:lang w:eastAsia="es-ES"/>
        </w:rPr>
        <w:t>.</w:t>
      </w:r>
    </w:p>
    <w:p w:rsidR="00FD71D0" w:rsidRPr="00FD71D0" w:rsidRDefault="006375D1" w:rsidP="00FD71D0">
      <w:pPr>
        <w:pStyle w:val="Prrafodelista"/>
        <w:numPr>
          <w:ilvl w:val="0"/>
          <w:numId w:val="17"/>
        </w:numPr>
        <w:tabs>
          <w:tab w:val="left" w:pos="-2268"/>
        </w:tabs>
        <w:spacing w:before="240" w:after="0" w:line="360" w:lineRule="auto"/>
        <w:jc w:val="both"/>
        <w:rPr>
          <w:rFonts w:ascii="Times New Roman" w:eastAsia="Times New Roman" w:hAnsi="Times New Roman" w:cs="Times New Roman"/>
          <w:i/>
          <w:sz w:val="24"/>
          <w:szCs w:val="20"/>
          <w:lang w:eastAsia="es-ES"/>
        </w:rPr>
      </w:pPr>
      <w:r>
        <w:rPr>
          <w:rFonts w:ascii="Times New Roman" w:eastAsia="Times New Roman" w:hAnsi="Times New Roman" w:cs="Times New Roman"/>
          <w:i/>
          <w:sz w:val="24"/>
          <w:szCs w:val="20"/>
          <w:lang w:eastAsia="es-ES"/>
        </w:rPr>
        <w:t xml:space="preserve">Se modifica la </w:t>
      </w:r>
      <w:r w:rsidR="00FD71D0" w:rsidRPr="00FD71D0">
        <w:rPr>
          <w:rFonts w:ascii="Times New Roman" w:eastAsia="Times New Roman" w:hAnsi="Times New Roman" w:cs="Times New Roman"/>
          <w:i/>
          <w:sz w:val="24"/>
          <w:szCs w:val="20"/>
          <w:lang w:eastAsia="es-ES"/>
        </w:rPr>
        <w:t>Ley 8/2012, de 29 de junio, de vivienda de Galicia</w:t>
      </w:r>
      <w:r>
        <w:rPr>
          <w:rFonts w:ascii="Times New Roman" w:eastAsia="Times New Roman" w:hAnsi="Times New Roman" w:cs="Times New Roman"/>
          <w:i/>
          <w:sz w:val="24"/>
          <w:szCs w:val="20"/>
          <w:lang w:eastAsia="es-ES"/>
        </w:rPr>
        <w:t>.</w:t>
      </w:r>
    </w:p>
    <w:p w:rsidR="00FD71D0" w:rsidRPr="006375D1" w:rsidRDefault="003D5E64"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w:t>
      </w:r>
      <w:r w:rsidR="00FD71D0" w:rsidRPr="006375D1">
        <w:rPr>
          <w:rFonts w:ascii="Times New Roman" w:eastAsia="Times New Roman" w:hAnsi="Times New Roman" w:cs="Times New Roman"/>
          <w:sz w:val="24"/>
          <w:szCs w:val="20"/>
          <w:lang w:eastAsia="es-ES"/>
        </w:rPr>
        <w:t xml:space="preserve"> régimen de protección de las viviendas de protección autonómica ubicadas en el denominado ámbito territorial de precio máximo superior tendrá una duración de </w:t>
      </w:r>
      <w:r>
        <w:rPr>
          <w:rFonts w:ascii="Times New Roman" w:eastAsia="Times New Roman" w:hAnsi="Times New Roman" w:cs="Times New Roman"/>
          <w:sz w:val="24"/>
          <w:szCs w:val="20"/>
          <w:lang w:eastAsia="es-ES"/>
        </w:rPr>
        <w:t>25</w:t>
      </w:r>
      <w:r w:rsidR="00FD71D0" w:rsidRPr="006375D1">
        <w:rPr>
          <w:rFonts w:ascii="Times New Roman" w:eastAsia="Times New Roman" w:hAnsi="Times New Roman" w:cs="Times New Roman"/>
          <w:sz w:val="24"/>
          <w:szCs w:val="20"/>
          <w:lang w:eastAsia="es-ES"/>
        </w:rPr>
        <w:t xml:space="preserve"> años; el de las viviendas ubicadas en la zona territorial primera tendrá una duración de </w:t>
      </w:r>
      <w:r>
        <w:rPr>
          <w:rFonts w:ascii="Times New Roman" w:eastAsia="Times New Roman" w:hAnsi="Times New Roman" w:cs="Times New Roman"/>
          <w:sz w:val="24"/>
          <w:szCs w:val="20"/>
          <w:lang w:eastAsia="es-ES"/>
        </w:rPr>
        <w:t>20</w:t>
      </w:r>
      <w:r w:rsidR="00FD71D0" w:rsidRPr="006375D1">
        <w:rPr>
          <w:rFonts w:ascii="Times New Roman" w:eastAsia="Times New Roman" w:hAnsi="Times New Roman" w:cs="Times New Roman"/>
          <w:sz w:val="24"/>
          <w:szCs w:val="20"/>
          <w:lang w:eastAsia="es-ES"/>
        </w:rPr>
        <w:t xml:space="preserve"> años; y el de las viviendas ubicadas en la zona territorial segunda, de </w:t>
      </w:r>
      <w:r>
        <w:rPr>
          <w:rFonts w:ascii="Times New Roman" w:eastAsia="Times New Roman" w:hAnsi="Times New Roman" w:cs="Times New Roman"/>
          <w:sz w:val="24"/>
          <w:szCs w:val="20"/>
          <w:lang w:eastAsia="es-ES"/>
        </w:rPr>
        <w:t>15</w:t>
      </w:r>
      <w:r w:rsidR="00FD71D0" w:rsidRPr="006375D1">
        <w:rPr>
          <w:rFonts w:ascii="Times New Roman" w:eastAsia="Times New Roman" w:hAnsi="Times New Roman" w:cs="Times New Roman"/>
          <w:sz w:val="24"/>
          <w:szCs w:val="20"/>
          <w:lang w:eastAsia="es-ES"/>
        </w:rPr>
        <w:t xml:space="preserve"> años, desde la fecha de la calificación definitiva. Reglamentariamente se determinarán los ayuntamientos incluidos en cada zona territorial.</w:t>
      </w:r>
    </w:p>
    <w:p w:rsidR="00FD71D0" w:rsidRPr="00FD71D0" w:rsidRDefault="00FD71D0" w:rsidP="003D5E64">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sidRPr="00FD71D0">
        <w:rPr>
          <w:rFonts w:ascii="Times New Roman" w:eastAsia="Times New Roman" w:hAnsi="Times New Roman" w:cs="Times New Roman"/>
          <w:sz w:val="24"/>
          <w:szCs w:val="20"/>
          <w:lang w:eastAsia="es-ES"/>
        </w:rPr>
        <w:t>La duración del régimen de protección de las promociones que se califiquen como viviendas de protección autonómica con destino a alquiler será de quince años, salvo que se edifiquen sobre un suelo desarr</w:t>
      </w:r>
      <w:r w:rsidR="003D5E64">
        <w:rPr>
          <w:rFonts w:ascii="Times New Roman" w:eastAsia="Times New Roman" w:hAnsi="Times New Roman" w:cs="Times New Roman"/>
          <w:sz w:val="24"/>
          <w:szCs w:val="20"/>
          <w:lang w:eastAsia="es-ES"/>
        </w:rPr>
        <w:t>ollado por un promotor público.</w:t>
      </w:r>
    </w:p>
    <w:p w:rsidR="00FD71D0" w:rsidRPr="00FD71D0"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FD71D0">
        <w:rPr>
          <w:rFonts w:ascii="Times New Roman" w:eastAsia="Times New Roman" w:hAnsi="Times New Roman" w:cs="Times New Roman"/>
          <w:sz w:val="24"/>
          <w:szCs w:val="20"/>
          <w:lang w:eastAsia="es-ES"/>
        </w:rPr>
        <w:lastRenderedPageBreak/>
        <w:t>La duración del régimen de protección de las viviendas protegidas edificadas en suelo público por una persona promotora titular de un derecho de superficie podrá extenderse hasta conseguir la duración total del derecho de superficie, aunque es</w:t>
      </w:r>
      <w:r w:rsidR="006375D1">
        <w:rPr>
          <w:rFonts w:ascii="Times New Roman" w:eastAsia="Times New Roman" w:hAnsi="Times New Roman" w:cs="Times New Roman"/>
          <w:sz w:val="24"/>
          <w:szCs w:val="20"/>
          <w:lang w:eastAsia="es-ES"/>
        </w:rPr>
        <w:t>ta sea superior a treinta años.</w:t>
      </w:r>
    </w:p>
    <w:p w:rsidR="00FD71D0" w:rsidRPr="006375D1"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En todo caso, para las viviendas que se acojan a la financiación o a las ayudas estatales, se estará, en cuanto a la duración del régimen de protección, a lo que disponga la correspondiente normativa reguladora de las citadas ayudas.</w:t>
      </w:r>
    </w:p>
    <w:p w:rsidR="00FD71D0" w:rsidRPr="00FD71D0" w:rsidRDefault="006375D1"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00FD71D0" w:rsidRPr="00FD71D0">
        <w:rPr>
          <w:rFonts w:ascii="Times New Roman" w:eastAsia="Times New Roman" w:hAnsi="Times New Roman" w:cs="Times New Roman"/>
          <w:sz w:val="24"/>
          <w:szCs w:val="20"/>
          <w:lang w:eastAsia="es-ES"/>
        </w:rPr>
        <w:t xml:space="preserve">as viviendas protegidas no podrán ser objeto de descalificación mientras dure </w:t>
      </w:r>
      <w:r>
        <w:rPr>
          <w:rFonts w:ascii="Times New Roman" w:eastAsia="Times New Roman" w:hAnsi="Times New Roman" w:cs="Times New Roman"/>
          <w:sz w:val="24"/>
          <w:szCs w:val="20"/>
          <w:lang w:eastAsia="es-ES"/>
        </w:rPr>
        <w:t>su régimen legal de protección.</w:t>
      </w:r>
    </w:p>
    <w:p w:rsidR="00FD71D0" w:rsidRPr="006375D1"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Podrán acceder a una vivienda protegida, en régimen de dominio o derecho de uso o disfrute, inter vivos, en primera o ulteriores transmisiones, a título oneroso o gratuito, voluntariamente o en vía ejecutiva, las personas que, careciendo de una vivienda en propiedad, acrediten los ingresos que, en atención a los criterios determinados reglamentariamente, se concreten mediante resolución de la Presidencia del Instituto Gallego de la Vivienda y Suelo y cumplan los requisitos que reglamentariamente se establezcan para el a</w:t>
      </w:r>
      <w:r w:rsidR="006375D1" w:rsidRPr="006375D1">
        <w:rPr>
          <w:rFonts w:ascii="Times New Roman" w:eastAsia="Times New Roman" w:hAnsi="Times New Roman" w:cs="Times New Roman"/>
          <w:sz w:val="24"/>
          <w:szCs w:val="20"/>
          <w:lang w:eastAsia="es-ES"/>
        </w:rPr>
        <w:t>cceso a este tipo de viviendas.</w:t>
      </w:r>
    </w:p>
    <w:p w:rsidR="00FD71D0" w:rsidRPr="00FD71D0"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FD71D0">
        <w:rPr>
          <w:rFonts w:ascii="Times New Roman" w:eastAsia="Times New Roman" w:hAnsi="Times New Roman" w:cs="Times New Roman"/>
          <w:sz w:val="24"/>
          <w:szCs w:val="20"/>
          <w:lang w:eastAsia="es-ES"/>
        </w:rPr>
        <w:t xml:space="preserve">Durante el período legal de protección, cualquier acto de disposición o de arrendamiento de viviendas protegidas en primera o posteriores transmisiones estará sujeto a un precio de venta o renta máximo que, en atención a los criterios determinados reglamentariamente, será fijado por acuerdo del </w:t>
      </w:r>
      <w:r w:rsidR="006375D1">
        <w:rPr>
          <w:rFonts w:ascii="Times New Roman" w:eastAsia="Times New Roman" w:hAnsi="Times New Roman" w:cs="Times New Roman"/>
          <w:sz w:val="24"/>
          <w:szCs w:val="20"/>
          <w:lang w:eastAsia="es-ES"/>
        </w:rPr>
        <w:t>Consejo de la Xunta de Galicia.</w:t>
      </w:r>
    </w:p>
    <w:p w:rsidR="00FD71D0" w:rsidRPr="006375D1"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 xml:space="preserve">Se añade una disposición adicional vigésima, </w:t>
      </w:r>
      <w:r w:rsidR="006375D1" w:rsidRPr="006375D1">
        <w:rPr>
          <w:rFonts w:ascii="Times New Roman" w:eastAsia="Times New Roman" w:hAnsi="Times New Roman" w:cs="Times New Roman"/>
          <w:sz w:val="24"/>
          <w:szCs w:val="20"/>
          <w:lang w:eastAsia="es-ES"/>
        </w:rPr>
        <w:t>relativa a la po</w:t>
      </w:r>
      <w:r w:rsidRPr="006375D1">
        <w:rPr>
          <w:rFonts w:ascii="Times New Roman" w:eastAsia="Times New Roman" w:hAnsi="Times New Roman" w:cs="Times New Roman"/>
          <w:sz w:val="24"/>
          <w:szCs w:val="20"/>
          <w:lang w:eastAsia="es-ES"/>
        </w:rPr>
        <w:t>sibilidad excepcional de concesión de exenciones, condonaciones, rebajas y moratorias en el pago de los recibos de alquiler de viviendas y locales del Instituto Gallego de la Vivienda y Suelo</w:t>
      </w:r>
      <w:r w:rsidR="006375D1">
        <w:rPr>
          <w:rFonts w:ascii="Times New Roman" w:eastAsia="Times New Roman" w:hAnsi="Times New Roman" w:cs="Times New Roman"/>
          <w:sz w:val="24"/>
          <w:szCs w:val="20"/>
          <w:lang w:eastAsia="es-ES"/>
        </w:rPr>
        <w:t>, sólo</w:t>
      </w:r>
      <w:r w:rsidRPr="006375D1">
        <w:rPr>
          <w:rFonts w:ascii="Times New Roman" w:eastAsia="Times New Roman" w:hAnsi="Times New Roman" w:cs="Times New Roman"/>
          <w:sz w:val="24"/>
          <w:szCs w:val="20"/>
          <w:lang w:eastAsia="es-ES"/>
        </w:rPr>
        <w:t>, previa autorización del Consejo de la Xunta de Galicia, en casos excepcionales de marcado carácter social debidamente motivados</w:t>
      </w:r>
      <w:r w:rsidR="006375D1">
        <w:rPr>
          <w:rFonts w:ascii="Times New Roman" w:eastAsia="Times New Roman" w:hAnsi="Times New Roman" w:cs="Times New Roman"/>
          <w:sz w:val="24"/>
          <w:szCs w:val="20"/>
          <w:lang w:eastAsia="es-ES"/>
        </w:rPr>
        <w:t>.</w:t>
      </w:r>
    </w:p>
    <w:p w:rsidR="00FD71D0" w:rsidRPr="006375D1" w:rsidRDefault="00FD71D0" w:rsidP="006375D1">
      <w:pPr>
        <w:pStyle w:val="Prrafodelista"/>
        <w:numPr>
          <w:ilvl w:val="0"/>
          <w:numId w:val="19"/>
        </w:numPr>
        <w:tabs>
          <w:tab w:val="left" w:pos="-2268"/>
        </w:tabs>
        <w:spacing w:before="240" w:after="0" w:line="360" w:lineRule="auto"/>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 xml:space="preserve">Se añade una disposición adicional vigésimo primera, </w:t>
      </w:r>
      <w:r w:rsidR="006375D1" w:rsidRPr="006375D1">
        <w:rPr>
          <w:rFonts w:ascii="Times New Roman" w:eastAsia="Times New Roman" w:hAnsi="Times New Roman" w:cs="Times New Roman"/>
          <w:sz w:val="24"/>
          <w:szCs w:val="20"/>
          <w:lang w:eastAsia="es-ES"/>
        </w:rPr>
        <w:t>relativa a la e</w:t>
      </w:r>
      <w:r w:rsidRPr="006375D1">
        <w:rPr>
          <w:rFonts w:ascii="Times New Roman" w:eastAsia="Times New Roman" w:hAnsi="Times New Roman" w:cs="Times New Roman"/>
          <w:sz w:val="24"/>
          <w:szCs w:val="20"/>
          <w:lang w:eastAsia="es-ES"/>
        </w:rPr>
        <w:t>xención en la aplicación de los requisitos para obtener la condición de persona beneficiaria de las ayudas del bono de alquiler social y del bono de alquiler social para víctimas de violencia de género otorgadas por la Administración autonómica.</w:t>
      </w:r>
    </w:p>
    <w:p w:rsidR="006375D1" w:rsidRPr="006375D1" w:rsidRDefault="006375D1" w:rsidP="006375D1">
      <w:pPr>
        <w:pStyle w:val="Prrafodelista"/>
        <w:numPr>
          <w:ilvl w:val="0"/>
          <w:numId w:val="17"/>
        </w:numPr>
        <w:tabs>
          <w:tab w:val="left" w:pos="-2268"/>
        </w:tabs>
        <w:spacing w:before="240" w:after="0" w:line="360" w:lineRule="auto"/>
        <w:jc w:val="both"/>
        <w:rPr>
          <w:rFonts w:ascii="Times New Roman" w:eastAsia="Times New Roman" w:hAnsi="Times New Roman" w:cs="Times New Roman"/>
          <w:i/>
          <w:sz w:val="24"/>
          <w:szCs w:val="20"/>
          <w:lang w:eastAsia="es-ES"/>
        </w:rPr>
      </w:pPr>
      <w:r w:rsidRPr="006375D1">
        <w:rPr>
          <w:rFonts w:ascii="Times New Roman" w:eastAsia="Times New Roman" w:hAnsi="Times New Roman" w:cs="Times New Roman"/>
          <w:i/>
          <w:sz w:val="24"/>
          <w:szCs w:val="20"/>
          <w:lang w:eastAsia="es-ES"/>
        </w:rPr>
        <w:lastRenderedPageBreak/>
        <w:t>Se modifica la Ley 2/2016, de 10 de febrero, del suelo de Galicia.</w:t>
      </w:r>
    </w:p>
    <w:p w:rsidR="006375D1" w:rsidRPr="006375D1" w:rsidRDefault="006375D1" w:rsidP="006375D1">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 xml:space="preserve">Se añade una disposición adicional cuarta, que </w:t>
      </w:r>
      <w:r>
        <w:rPr>
          <w:rFonts w:ascii="Times New Roman" w:eastAsia="Times New Roman" w:hAnsi="Times New Roman" w:cs="Times New Roman"/>
          <w:sz w:val="24"/>
          <w:szCs w:val="20"/>
          <w:lang w:eastAsia="es-ES"/>
        </w:rPr>
        <w:t xml:space="preserve">crea la </w:t>
      </w:r>
      <w:r w:rsidRPr="006375D1">
        <w:rPr>
          <w:rFonts w:ascii="Times New Roman" w:eastAsia="Times New Roman" w:hAnsi="Times New Roman" w:cs="Times New Roman"/>
          <w:sz w:val="24"/>
          <w:szCs w:val="20"/>
          <w:lang w:eastAsia="es-ES"/>
        </w:rPr>
        <w:t>Junta Consultiva en Materia de Ordenación del Territorio y Urbanismo</w:t>
      </w:r>
      <w:r>
        <w:rPr>
          <w:rFonts w:ascii="Times New Roman" w:eastAsia="Times New Roman" w:hAnsi="Times New Roman" w:cs="Times New Roman"/>
          <w:sz w:val="24"/>
          <w:szCs w:val="20"/>
          <w:lang w:eastAsia="es-ES"/>
        </w:rPr>
        <w:t>, como un</w:t>
      </w:r>
      <w:r w:rsidRPr="006375D1">
        <w:rPr>
          <w:rFonts w:ascii="Times New Roman" w:eastAsia="Times New Roman" w:hAnsi="Times New Roman" w:cs="Times New Roman"/>
          <w:sz w:val="24"/>
          <w:szCs w:val="20"/>
          <w:lang w:eastAsia="es-ES"/>
        </w:rPr>
        <w:t xml:space="preserve"> órgano con funciones específicas de carácter consultivo en las referidas materias, en el ámbito de la Comunidad Autónoma de Galicia.</w:t>
      </w:r>
    </w:p>
    <w:p w:rsidR="006375D1" w:rsidRPr="006375D1" w:rsidRDefault="006375D1" w:rsidP="006375D1">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Su composición, organización y funcionamiento serán establecidos reglamentariamente, garantizando la representación de las administraciones públicas con competencias urbanísticas.</w:t>
      </w:r>
    </w:p>
    <w:p w:rsidR="006375D1" w:rsidRDefault="006375D1" w:rsidP="006375D1">
      <w:pPr>
        <w:pStyle w:val="Prrafodelista"/>
        <w:tabs>
          <w:tab w:val="left" w:pos="-2268"/>
        </w:tabs>
        <w:spacing w:before="240" w:after="0" w:line="360" w:lineRule="auto"/>
        <w:ind w:left="1429"/>
        <w:jc w:val="both"/>
        <w:rPr>
          <w:rFonts w:ascii="Times New Roman" w:eastAsia="Times New Roman" w:hAnsi="Times New Roman" w:cs="Times New Roman"/>
          <w:sz w:val="24"/>
          <w:szCs w:val="20"/>
          <w:lang w:eastAsia="es-ES"/>
        </w:rPr>
      </w:pPr>
      <w:r w:rsidRPr="006375D1">
        <w:rPr>
          <w:rFonts w:ascii="Times New Roman" w:eastAsia="Times New Roman" w:hAnsi="Times New Roman" w:cs="Times New Roman"/>
          <w:sz w:val="24"/>
          <w:szCs w:val="20"/>
          <w:lang w:eastAsia="es-ES"/>
        </w:rPr>
        <w:t>La Comisión Superior de Urbanismo de Galicia, prevista en el artículo 9 de esta ley, pasará a integrarse en la Junta Consultiva en Materia de Ordenación del Territorio y Urbanismo, a partir de su creación. Hasta ese momento continuará en el desarrollo de s</w:t>
      </w:r>
      <w:r>
        <w:rPr>
          <w:rFonts w:ascii="Times New Roman" w:eastAsia="Times New Roman" w:hAnsi="Times New Roman" w:cs="Times New Roman"/>
          <w:sz w:val="24"/>
          <w:szCs w:val="20"/>
          <w:lang w:eastAsia="es-ES"/>
        </w:rPr>
        <w:t>us funciones.</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 </w:t>
      </w:r>
      <w:r w:rsidRPr="001545A4">
        <w:rPr>
          <w:rFonts w:ascii="Times New Roman" w:eastAsia="Times New Roman" w:hAnsi="Times New Roman" w:cs="Times New Roman"/>
          <w:b/>
          <w:sz w:val="24"/>
          <w:szCs w:val="20"/>
          <w:u w:val="single"/>
          <w:lang w:eastAsia="es-ES"/>
        </w:rPr>
        <w:t>Decreto 61/2021, de 8 de abril, por el que se regula el informe de evaluación de los edificios y se crea el Registro Gallego de Informes de Evaluación de Edificios</w:t>
      </w:r>
      <w:r w:rsidRPr="001545A4">
        <w:rPr>
          <w:rFonts w:ascii="Times New Roman" w:eastAsia="Times New Roman" w:hAnsi="Times New Roman" w:cs="Times New Roman"/>
          <w:sz w:val="24"/>
          <w:szCs w:val="20"/>
          <w:lang w:eastAsia="es-ES"/>
        </w:rPr>
        <w:t>. (DOG núm. 73, de 20 de abril)</w:t>
      </w:r>
    </w:p>
    <w:p w:rsidR="00031351"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Este decreto no es sino el desarrollo de lo previsto en el </w:t>
      </w:r>
      <w:r w:rsidRPr="001545A4">
        <w:rPr>
          <w:rFonts w:ascii="Times New Roman" w:eastAsia="Times New Roman" w:hAnsi="Times New Roman" w:cs="Times New Roman"/>
          <w:sz w:val="24"/>
          <w:szCs w:val="20"/>
          <w:lang w:eastAsia="es-ES"/>
        </w:rPr>
        <w:t>Capítulo II de La Ley 1/2019, de 22 abril, de rehabilitación y de regeneración y renovación urbanas de Galicia</w:t>
      </w:r>
      <w:r w:rsidR="00031351">
        <w:rPr>
          <w:rFonts w:ascii="Times New Roman" w:eastAsia="Times New Roman" w:hAnsi="Times New Roman" w:cs="Times New Roman"/>
          <w:sz w:val="24"/>
          <w:szCs w:val="20"/>
          <w:lang w:eastAsia="es-ES"/>
        </w:rPr>
        <w:t xml:space="preserve">, que ya incluía en los </w:t>
      </w:r>
      <w:r w:rsidRPr="001545A4">
        <w:rPr>
          <w:rFonts w:ascii="Times New Roman" w:eastAsia="Times New Roman" w:hAnsi="Times New Roman" w:cs="Times New Roman"/>
          <w:sz w:val="24"/>
          <w:szCs w:val="20"/>
          <w:lang w:eastAsia="es-ES"/>
        </w:rPr>
        <w:t xml:space="preserve">artículos 5 a 10 la regulación del Informe de Evaluación de Edificios </w:t>
      </w:r>
      <w:r w:rsidR="00031351">
        <w:rPr>
          <w:rFonts w:ascii="Times New Roman" w:eastAsia="Times New Roman" w:hAnsi="Times New Roman" w:cs="Times New Roman"/>
          <w:sz w:val="24"/>
          <w:szCs w:val="20"/>
          <w:lang w:eastAsia="es-ES"/>
        </w:rPr>
        <w:t xml:space="preserve">(en adelante IAE) </w:t>
      </w:r>
      <w:r w:rsidRPr="001545A4">
        <w:rPr>
          <w:rFonts w:ascii="Times New Roman" w:eastAsia="Times New Roman" w:hAnsi="Times New Roman" w:cs="Times New Roman"/>
          <w:sz w:val="24"/>
          <w:szCs w:val="20"/>
          <w:lang w:eastAsia="es-ES"/>
        </w:rPr>
        <w:t>y la creación del Registro de Informes de Evaluación de Edificios</w:t>
      </w:r>
      <w:r w:rsidR="00031351">
        <w:rPr>
          <w:rFonts w:ascii="Times New Roman" w:eastAsia="Times New Roman" w:hAnsi="Times New Roman" w:cs="Times New Roman"/>
          <w:sz w:val="24"/>
          <w:szCs w:val="20"/>
          <w:lang w:eastAsia="es-ES"/>
        </w:rPr>
        <w:t>.</w:t>
      </w:r>
    </w:p>
    <w:p w:rsidR="00033AD2" w:rsidRDefault="00033AD2"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decreto tiene su entrada en vigor al mes de la publicación en el DOG.</w:t>
      </w:r>
    </w:p>
    <w:p w:rsidR="00031351" w:rsidRDefault="00031351"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w:t>
      </w:r>
      <w:r w:rsidR="001545A4">
        <w:rPr>
          <w:rFonts w:ascii="Times New Roman" w:eastAsia="Times New Roman" w:hAnsi="Times New Roman" w:cs="Times New Roman"/>
          <w:sz w:val="24"/>
          <w:szCs w:val="20"/>
          <w:lang w:eastAsia="es-ES"/>
        </w:rPr>
        <w:t>D</w:t>
      </w:r>
      <w:r>
        <w:rPr>
          <w:rFonts w:ascii="Times New Roman" w:eastAsia="Times New Roman" w:hAnsi="Times New Roman" w:cs="Times New Roman"/>
          <w:sz w:val="24"/>
          <w:szCs w:val="20"/>
          <w:lang w:eastAsia="es-ES"/>
        </w:rPr>
        <w:t>ecreto está d</w:t>
      </w:r>
      <w:r w:rsidR="001545A4">
        <w:rPr>
          <w:rFonts w:ascii="Times New Roman" w:eastAsia="Times New Roman" w:hAnsi="Times New Roman" w:cs="Times New Roman"/>
          <w:sz w:val="24"/>
          <w:szCs w:val="20"/>
          <w:lang w:eastAsia="es-ES"/>
        </w:rPr>
        <w:t>ividido en tres capítulos</w:t>
      </w:r>
      <w:r>
        <w:rPr>
          <w:rFonts w:ascii="Times New Roman" w:eastAsia="Times New Roman" w:hAnsi="Times New Roman" w:cs="Times New Roman"/>
          <w:sz w:val="24"/>
          <w:szCs w:val="20"/>
          <w:lang w:eastAsia="es-ES"/>
        </w:rPr>
        <w:t>:</w:t>
      </w:r>
      <w:r w:rsidR="001545A4">
        <w:rPr>
          <w:rFonts w:ascii="Times New Roman" w:eastAsia="Times New Roman" w:hAnsi="Times New Roman" w:cs="Times New Roman"/>
          <w:sz w:val="24"/>
          <w:szCs w:val="20"/>
          <w:lang w:eastAsia="es-ES"/>
        </w:rPr>
        <w:t xml:space="preserve"> el primero está dedicado a las disposiciones generales, el segundo al informe de evaluación de los edificios y el capítulo tercero al </w:t>
      </w:r>
      <w:r w:rsidR="001545A4" w:rsidRPr="001545A4">
        <w:rPr>
          <w:rFonts w:ascii="Times New Roman" w:eastAsia="Times New Roman" w:hAnsi="Times New Roman" w:cs="Times New Roman"/>
          <w:sz w:val="24"/>
          <w:szCs w:val="20"/>
          <w:lang w:eastAsia="es-ES"/>
        </w:rPr>
        <w:t>Registro Gallego de Informes de Evaluación de Edificios</w:t>
      </w:r>
      <w:r w:rsidR="001545A4">
        <w:rPr>
          <w:rFonts w:ascii="Times New Roman" w:eastAsia="Times New Roman" w:hAnsi="Times New Roman" w:cs="Times New Roman"/>
          <w:sz w:val="24"/>
          <w:szCs w:val="20"/>
          <w:lang w:eastAsia="es-ES"/>
        </w:rPr>
        <w:t>.</w:t>
      </w:r>
    </w:p>
    <w:p w:rsid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 xml:space="preserve">El </w:t>
      </w:r>
      <w:r w:rsidR="00031351">
        <w:rPr>
          <w:rFonts w:ascii="Times New Roman" w:eastAsia="Times New Roman" w:hAnsi="Times New Roman" w:cs="Times New Roman"/>
          <w:sz w:val="24"/>
          <w:szCs w:val="20"/>
          <w:lang w:eastAsia="es-ES"/>
        </w:rPr>
        <w:t xml:space="preserve">Decreto es de aplicación a los edificios de uso residencial colectiva con una antigüedad superior a 50 años, excepto que la normativa municipal establezca una inferior, y al resto de los edificios, cuando así lo disponga la normativa municipal. En este caso, podrá establecer especialidades de aplicación del IAE en función de su situación, antigüedad, tipología y uso predominante. </w:t>
      </w:r>
    </w:p>
    <w:p w:rsidR="00031351" w:rsidRDefault="00031351"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A los efectos de este decreto, no se considera de uso residencial de vivienda colectiva los edificios que tengan declaración firme de ruina, excepto que la normativa municipal establezca la necesidad de realizar el IAE en estos edificios.</w:t>
      </w:r>
    </w:p>
    <w:p w:rsidR="00031351" w:rsidRDefault="00031351"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Para determinar la antigüedad del edificio habrá que estar a la certificación catastral, si bien se permitirá fecha</w:t>
      </w:r>
      <w:r w:rsidR="00B167EE">
        <w:rPr>
          <w:rFonts w:ascii="Times New Roman" w:eastAsia="Times New Roman" w:hAnsi="Times New Roman" w:cs="Times New Roman"/>
          <w:sz w:val="24"/>
          <w:szCs w:val="20"/>
          <w:lang w:eastAsia="es-ES"/>
        </w:rPr>
        <w:t xml:space="preserve"> distinta de la que allí conste, según el orden de prelación que indica el decreto, esto es, licencia de primera ocupación, certificado final de obra, o justificación técnica de la antigüedad basada en la tipología y características constructivas de la edificación.</w:t>
      </w:r>
    </w:p>
    <w:p w:rsidR="001545A4" w:rsidRPr="00031351" w:rsidRDefault="001545A4" w:rsidP="001545A4">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031351">
        <w:rPr>
          <w:rFonts w:ascii="Times New Roman" w:eastAsia="Times New Roman" w:hAnsi="Times New Roman" w:cs="Times New Roman"/>
          <w:b/>
          <w:sz w:val="24"/>
          <w:szCs w:val="20"/>
          <w:lang w:eastAsia="es-ES"/>
        </w:rPr>
        <w:t>A) Informe de Evaluación de Edificios.</w:t>
      </w:r>
    </w:p>
    <w:p w:rsidR="00031351" w:rsidRDefault="00031351"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Ya la Ley 1/2019 distinguía entre</w:t>
      </w:r>
      <w:r w:rsidR="001545A4" w:rsidRPr="001545A4">
        <w:rPr>
          <w:rFonts w:ascii="Times New Roman" w:eastAsia="Times New Roman" w:hAnsi="Times New Roman" w:cs="Times New Roman"/>
          <w:sz w:val="24"/>
          <w:szCs w:val="20"/>
          <w:lang w:eastAsia="es-ES"/>
        </w:rPr>
        <w:t xml:space="preserve"> IAE </w:t>
      </w:r>
      <w:r>
        <w:rPr>
          <w:rFonts w:ascii="Times New Roman" w:eastAsia="Times New Roman" w:hAnsi="Times New Roman" w:cs="Times New Roman"/>
          <w:sz w:val="24"/>
          <w:szCs w:val="20"/>
          <w:lang w:eastAsia="es-ES"/>
        </w:rPr>
        <w:t>e</w:t>
      </w:r>
      <w:r w:rsidR="001545A4" w:rsidRPr="001545A4">
        <w:rPr>
          <w:rFonts w:ascii="Times New Roman" w:eastAsia="Times New Roman" w:hAnsi="Times New Roman" w:cs="Times New Roman"/>
          <w:sz w:val="24"/>
          <w:szCs w:val="20"/>
          <w:lang w:eastAsia="es-ES"/>
        </w:rPr>
        <w:t xml:space="preserve"> ITE</w:t>
      </w:r>
      <w:r>
        <w:rPr>
          <w:rFonts w:ascii="Times New Roman" w:eastAsia="Times New Roman" w:hAnsi="Times New Roman" w:cs="Times New Roman"/>
          <w:sz w:val="24"/>
          <w:szCs w:val="20"/>
          <w:lang w:eastAsia="es-ES"/>
        </w:rPr>
        <w:t xml:space="preserve">, fruto de </w:t>
      </w:r>
      <w:r w:rsidR="001545A4" w:rsidRPr="001545A4">
        <w:rPr>
          <w:rFonts w:ascii="Times New Roman" w:eastAsia="Times New Roman" w:hAnsi="Times New Roman" w:cs="Times New Roman"/>
          <w:sz w:val="24"/>
          <w:szCs w:val="20"/>
          <w:lang w:eastAsia="es-ES"/>
        </w:rPr>
        <w:t xml:space="preserve">la STC 143/2017, </w:t>
      </w:r>
      <w:r>
        <w:rPr>
          <w:rFonts w:ascii="Times New Roman" w:eastAsia="Times New Roman" w:hAnsi="Times New Roman" w:cs="Times New Roman"/>
          <w:sz w:val="24"/>
          <w:szCs w:val="20"/>
          <w:lang w:eastAsia="es-ES"/>
        </w:rPr>
        <w:t>informe que tiene carácter complementario de la Inspección Técnica de Edificios.</w:t>
      </w:r>
    </w:p>
    <w:p w:rsidR="00B167EE" w:rsidRDefault="00B167EE"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Es obligación del propietario de vivienda o de la comunidad de propietarios disponer del citado IAE.</w:t>
      </w:r>
    </w:p>
    <w:p w:rsidR="00B167EE" w:rsidRDefault="00B167EE" w:rsidP="00B167EE">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Pr="00B167EE">
        <w:rPr>
          <w:rFonts w:ascii="Times New Roman" w:eastAsia="Times New Roman" w:hAnsi="Times New Roman" w:cs="Times New Roman"/>
          <w:sz w:val="24"/>
          <w:szCs w:val="20"/>
          <w:lang w:eastAsia="es-ES"/>
        </w:rPr>
        <w:t xml:space="preserve">l art. 5.2 de la Ley 1/2019 (art. 6.4 del Decreto 61/2021), </w:t>
      </w:r>
      <w:r>
        <w:rPr>
          <w:rFonts w:ascii="Times New Roman" w:eastAsia="Times New Roman" w:hAnsi="Times New Roman" w:cs="Times New Roman"/>
          <w:sz w:val="24"/>
          <w:szCs w:val="20"/>
          <w:lang w:eastAsia="es-ES"/>
        </w:rPr>
        <w:t xml:space="preserve">prevé la </w:t>
      </w:r>
      <w:r w:rsidRPr="000C1C20">
        <w:rPr>
          <w:rFonts w:ascii="Times New Roman" w:eastAsia="Times New Roman" w:hAnsi="Times New Roman" w:cs="Times New Roman"/>
          <w:sz w:val="24"/>
          <w:szCs w:val="20"/>
          <w:u w:val="single"/>
          <w:lang w:eastAsia="es-ES"/>
        </w:rPr>
        <w:t>competencia municipal</w:t>
      </w:r>
      <w:r>
        <w:rPr>
          <w:rFonts w:ascii="Times New Roman" w:eastAsia="Times New Roman" w:hAnsi="Times New Roman" w:cs="Times New Roman"/>
          <w:sz w:val="24"/>
          <w:szCs w:val="20"/>
          <w:lang w:eastAsia="es-ES"/>
        </w:rPr>
        <w:t xml:space="preserve"> cuando atribuye a </w:t>
      </w:r>
      <w:r w:rsidRPr="00B167EE">
        <w:rPr>
          <w:rFonts w:ascii="Times New Roman" w:eastAsia="Times New Roman" w:hAnsi="Times New Roman" w:cs="Times New Roman"/>
          <w:sz w:val="24"/>
          <w:szCs w:val="20"/>
          <w:lang w:eastAsia="es-ES"/>
        </w:rPr>
        <w:t xml:space="preserve">los Ayuntamientos velar por el cumplimiento de la obligación de redactar los IAE, </w:t>
      </w:r>
      <w:r>
        <w:rPr>
          <w:rFonts w:ascii="Times New Roman" w:eastAsia="Times New Roman" w:hAnsi="Times New Roman" w:cs="Times New Roman"/>
          <w:sz w:val="24"/>
          <w:szCs w:val="20"/>
          <w:lang w:eastAsia="es-ES"/>
        </w:rPr>
        <w:t xml:space="preserve">al tiempo que añade que </w:t>
      </w:r>
      <w:r w:rsidR="000C1C20">
        <w:rPr>
          <w:rFonts w:ascii="Times New Roman" w:eastAsia="Times New Roman" w:hAnsi="Times New Roman" w:cs="Times New Roman"/>
          <w:sz w:val="24"/>
          <w:szCs w:val="20"/>
          <w:lang w:eastAsia="es-ES"/>
        </w:rPr>
        <w:t xml:space="preserve">los propietarios </w:t>
      </w:r>
      <w:r>
        <w:rPr>
          <w:rFonts w:ascii="Times New Roman" w:eastAsia="Times New Roman" w:hAnsi="Times New Roman" w:cs="Times New Roman"/>
          <w:sz w:val="24"/>
          <w:szCs w:val="20"/>
          <w:lang w:eastAsia="es-ES"/>
        </w:rPr>
        <w:t>deberá</w:t>
      </w:r>
      <w:r w:rsidR="000C1C20">
        <w:rPr>
          <w:rFonts w:ascii="Times New Roman" w:eastAsia="Times New Roman" w:hAnsi="Times New Roman" w:cs="Times New Roman"/>
          <w:sz w:val="24"/>
          <w:szCs w:val="20"/>
          <w:lang w:eastAsia="es-ES"/>
        </w:rPr>
        <w:t xml:space="preserve">n presentarlo </w:t>
      </w:r>
      <w:r>
        <w:rPr>
          <w:rFonts w:ascii="Times New Roman" w:eastAsia="Times New Roman" w:hAnsi="Times New Roman" w:cs="Times New Roman"/>
          <w:sz w:val="24"/>
          <w:szCs w:val="20"/>
          <w:lang w:eastAsia="es-ES"/>
        </w:rPr>
        <w:t>en el ayuntamiento en el que esté situado el inmueble, en el plazo máximo de un año desde que el edificio alcance los 50 años o la antigüedad prevista por el Ayuntamiento, en su caso</w:t>
      </w:r>
      <w:r w:rsidR="000C1C20">
        <w:rPr>
          <w:rFonts w:ascii="Times New Roman" w:eastAsia="Times New Roman" w:hAnsi="Times New Roman" w:cs="Times New Roman"/>
          <w:sz w:val="24"/>
          <w:szCs w:val="20"/>
          <w:lang w:eastAsia="es-ES"/>
        </w:rPr>
        <w:t>.</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Después de regular el contenido mínimo del IAE, el decreto dispone que la evaluación, en lo que respecta al estado de conservación del edificio, se centrará en el estado general del edificio, sus elementos estructurales, constructivos y de las instalaciones, constatando las patologías o deficiencias que puedan apreciarse en una inspección visual y clasificando éstas.</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el caso de una inspección técnica específica (ascensores, etc…) el técnico informante se limitará a requerir la documentación obligatoria, como los contratos de mantenimiento.</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Cuando se trate de edificios catalogados o declarados BIC, deberá indicarse la fecha de inclusión en el catálogo o la fecha de declaración.</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El IAE certifica, igualmente, las condiciones básicas de accesibilidad universal del edificio y la eficiencia energética del mismo.</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IAE debe realizarse sobre la totalidad del edificio, tanto los elementos comunes como los privativos, independientemente de que algunas zonas no tengan uso residencial. Se realiza según una inspección visual y no es objeto del mismo la detección de vicios o daños ocultos.</w:t>
      </w:r>
    </w:p>
    <w:p w:rsidR="000C1C20" w:rsidRDefault="000C1C20"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resultado del informe debe ser favorable o desfavorable. Si se observan deficiencias, éstas se pueden clasificar en tres categorías: </w:t>
      </w:r>
    </w:p>
    <w:p w:rsidR="000C1C20" w:rsidRDefault="000C1C20" w:rsidP="000C1C20">
      <w:pPr>
        <w:pStyle w:val="Prrafodelista"/>
        <w:numPr>
          <w:ilvl w:val="0"/>
          <w:numId w:val="11"/>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muy graves, que implican un riesgo para la estabilidad del edificio.</w:t>
      </w:r>
    </w:p>
    <w:p w:rsidR="000C1C20" w:rsidRDefault="000C1C20" w:rsidP="000C1C20">
      <w:pPr>
        <w:pStyle w:val="Prrafodelista"/>
        <w:numPr>
          <w:ilvl w:val="0"/>
          <w:numId w:val="11"/>
        </w:numPr>
        <w:tabs>
          <w:tab w:val="left" w:pos="-2268"/>
        </w:tabs>
        <w:spacing w:before="240" w:after="0" w:line="360" w:lineRule="auto"/>
        <w:jc w:val="both"/>
        <w:rPr>
          <w:rFonts w:ascii="Times New Roman" w:eastAsia="Times New Roman" w:hAnsi="Times New Roman" w:cs="Times New Roman"/>
          <w:sz w:val="24"/>
          <w:szCs w:val="20"/>
          <w:lang w:eastAsia="es-ES"/>
        </w:rPr>
      </w:pPr>
      <w:r w:rsidRPr="000C1C20">
        <w:rPr>
          <w:rFonts w:ascii="Times New Roman" w:eastAsia="Times New Roman" w:hAnsi="Times New Roman" w:cs="Times New Roman"/>
          <w:sz w:val="24"/>
          <w:szCs w:val="20"/>
          <w:lang w:eastAsia="es-ES"/>
        </w:rPr>
        <w:t>Graves</w:t>
      </w:r>
      <w:r>
        <w:rPr>
          <w:rFonts w:ascii="Times New Roman" w:eastAsia="Times New Roman" w:hAnsi="Times New Roman" w:cs="Times New Roman"/>
          <w:sz w:val="24"/>
          <w:szCs w:val="20"/>
          <w:lang w:eastAsia="es-ES"/>
        </w:rPr>
        <w:t>, afectan de manera importante a la salubridad y la funcionalidad del edifico,</w:t>
      </w:r>
      <w:r w:rsidRPr="000C1C20">
        <w:rPr>
          <w:rFonts w:ascii="Times New Roman" w:eastAsia="Times New Roman" w:hAnsi="Times New Roman" w:cs="Times New Roman"/>
          <w:sz w:val="24"/>
          <w:szCs w:val="20"/>
          <w:lang w:eastAsia="es-ES"/>
        </w:rPr>
        <w:t xml:space="preserve"> y</w:t>
      </w:r>
    </w:p>
    <w:p w:rsidR="000C1C20" w:rsidRPr="000C1C20" w:rsidRDefault="000C1C20" w:rsidP="000C1C20">
      <w:pPr>
        <w:pStyle w:val="Prrafodelista"/>
        <w:numPr>
          <w:ilvl w:val="0"/>
          <w:numId w:val="11"/>
        </w:numPr>
        <w:tabs>
          <w:tab w:val="left" w:pos="-2268"/>
        </w:tabs>
        <w:spacing w:before="240" w:after="0" w:line="360" w:lineRule="auto"/>
        <w:jc w:val="both"/>
        <w:rPr>
          <w:rFonts w:ascii="Times New Roman" w:eastAsia="Times New Roman" w:hAnsi="Times New Roman" w:cs="Times New Roman"/>
          <w:sz w:val="24"/>
          <w:szCs w:val="20"/>
          <w:lang w:eastAsia="es-ES"/>
        </w:rPr>
      </w:pPr>
      <w:r w:rsidRPr="000C1C20">
        <w:rPr>
          <w:rFonts w:ascii="Times New Roman" w:eastAsia="Times New Roman" w:hAnsi="Times New Roman" w:cs="Times New Roman"/>
          <w:sz w:val="24"/>
          <w:szCs w:val="20"/>
          <w:lang w:eastAsia="es-ES"/>
        </w:rPr>
        <w:t xml:space="preserve"> Leves</w:t>
      </w:r>
      <w:r>
        <w:rPr>
          <w:rFonts w:ascii="Times New Roman" w:eastAsia="Times New Roman" w:hAnsi="Times New Roman" w:cs="Times New Roman"/>
          <w:sz w:val="24"/>
          <w:szCs w:val="20"/>
          <w:lang w:eastAsia="es-ES"/>
        </w:rPr>
        <w:t>, las no incluidas en los apartados anteriores que hagan necesaria la realización de trabajos de mantenimiento preventivo y/o corrector.</w:t>
      </w:r>
      <w:r w:rsidRPr="000C1C20">
        <w:rPr>
          <w:rFonts w:ascii="Times New Roman" w:eastAsia="Times New Roman" w:hAnsi="Times New Roman" w:cs="Times New Roman"/>
          <w:sz w:val="24"/>
          <w:szCs w:val="20"/>
          <w:lang w:eastAsia="es-ES"/>
        </w:rPr>
        <w:t xml:space="preserve"> </w:t>
      </w:r>
    </w:p>
    <w:p w:rsidR="000C1C20" w:rsidRDefault="00033AD2"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informe desfavorable obliga a los propietarios a subsanar las deficiencias.</w:t>
      </w:r>
    </w:p>
    <w:p w:rsidR="000C1C20" w:rsidRDefault="00033AD2" w:rsidP="000C1C2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000C1C20" w:rsidRPr="001545A4">
        <w:rPr>
          <w:rFonts w:ascii="Times New Roman" w:eastAsia="Times New Roman" w:hAnsi="Times New Roman" w:cs="Times New Roman"/>
          <w:sz w:val="24"/>
          <w:szCs w:val="20"/>
          <w:lang w:eastAsia="es-ES"/>
        </w:rPr>
        <w:t xml:space="preserve">l IAE </w:t>
      </w:r>
      <w:r>
        <w:rPr>
          <w:rFonts w:ascii="Times New Roman" w:eastAsia="Times New Roman" w:hAnsi="Times New Roman" w:cs="Times New Roman"/>
          <w:sz w:val="24"/>
          <w:szCs w:val="20"/>
          <w:lang w:eastAsia="es-ES"/>
        </w:rPr>
        <w:t xml:space="preserve">favorable </w:t>
      </w:r>
      <w:r w:rsidR="000C1C20" w:rsidRPr="001545A4">
        <w:rPr>
          <w:rFonts w:ascii="Times New Roman" w:eastAsia="Times New Roman" w:hAnsi="Times New Roman" w:cs="Times New Roman"/>
          <w:sz w:val="24"/>
          <w:szCs w:val="20"/>
          <w:lang w:eastAsia="es-ES"/>
        </w:rPr>
        <w:t>tendrá una vigencia de 10 años</w:t>
      </w:r>
      <w:r>
        <w:rPr>
          <w:rFonts w:ascii="Times New Roman" w:eastAsia="Times New Roman" w:hAnsi="Times New Roman" w:cs="Times New Roman"/>
          <w:sz w:val="24"/>
          <w:szCs w:val="20"/>
          <w:lang w:eastAsia="es-ES"/>
        </w:rPr>
        <w:t xml:space="preserve"> desde la fecha de su elaboración, salvo que el ayuntamiento establezca una vigencia menor mediante una </w:t>
      </w:r>
      <w:r w:rsidR="000C1C20" w:rsidRPr="001545A4">
        <w:rPr>
          <w:rFonts w:ascii="Times New Roman" w:eastAsia="Times New Roman" w:hAnsi="Times New Roman" w:cs="Times New Roman"/>
          <w:sz w:val="24"/>
          <w:szCs w:val="20"/>
          <w:lang w:eastAsia="es-ES"/>
        </w:rPr>
        <w:t xml:space="preserve">disponga la </w:t>
      </w:r>
      <w:r>
        <w:rPr>
          <w:rFonts w:ascii="Times New Roman" w:eastAsia="Times New Roman" w:hAnsi="Times New Roman" w:cs="Times New Roman"/>
          <w:sz w:val="24"/>
          <w:szCs w:val="20"/>
          <w:lang w:eastAsia="es-ES"/>
        </w:rPr>
        <w:t>o</w:t>
      </w:r>
      <w:r w:rsidR="000C1C20" w:rsidRPr="001545A4">
        <w:rPr>
          <w:rFonts w:ascii="Times New Roman" w:eastAsia="Times New Roman" w:hAnsi="Times New Roman" w:cs="Times New Roman"/>
          <w:sz w:val="24"/>
          <w:szCs w:val="20"/>
          <w:lang w:eastAsia="es-ES"/>
        </w:rPr>
        <w:t>rdenanza municipal.</w:t>
      </w:r>
    </w:p>
    <w:p w:rsidR="00033AD2" w:rsidRPr="001545A4" w:rsidRDefault="00033AD2" w:rsidP="00033AD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Pr="001545A4">
        <w:rPr>
          <w:rFonts w:ascii="Times New Roman" w:eastAsia="Times New Roman" w:hAnsi="Times New Roman" w:cs="Times New Roman"/>
          <w:sz w:val="24"/>
          <w:szCs w:val="20"/>
          <w:lang w:eastAsia="es-ES"/>
        </w:rPr>
        <w:t>a D</w:t>
      </w:r>
      <w:r>
        <w:rPr>
          <w:rFonts w:ascii="Times New Roman" w:eastAsia="Times New Roman" w:hAnsi="Times New Roman" w:cs="Times New Roman"/>
          <w:sz w:val="24"/>
          <w:szCs w:val="20"/>
          <w:lang w:eastAsia="es-ES"/>
        </w:rPr>
        <w:t xml:space="preserve">T 1ª, que establece los plazos </w:t>
      </w:r>
      <w:r w:rsidRPr="001545A4">
        <w:rPr>
          <w:rFonts w:ascii="Times New Roman" w:eastAsia="Times New Roman" w:hAnsi="Times New Roman" w:cs="Times New Roman"/>
          <w:sz w:val="24"/>
          <w:szCs w:val="20"/>
          <w:lang w:eastAsia="es-ES"/>
        </w:rPr>
        <w:t xml:space="preserve">para la </w:t>
      </w:r>
      <w:r>
        <w:rPr>
          <w:rFonts w:ascii="Times New Roman" w:eastAsia="Times New Roman" w:hAnsi="Times New Roman" w:cs="Times New Roman"/>
          <w:sz w:val="24"/>
          <w:szCs w:val="20"/>
          <w:lang w:eastAsia="es-ES"/>
        </w:rPr>
        <w:t>i</w:t>
      </w:r>
      <w:r w:rsidRPr="001545A4">
        <w:rPr>
          <w:rFonts w:ascii="Times New Roman" w:eastAsia="Times New Roman" w:hAnsi="Times New Roman" w:cs="Times New Roman"/>
          <w:sz w:val="24"/>
          <w:szCs w:val="20"/>
          <w:lang w:eastAsia="es-ES"/>
        </w:rPr>
        <w:t>mplantación gradual de la obligación del informe de evaluación de los edificios</w:t>
      </w:r>
      <w:r>
        <w:rPr>
          <w:rFonts w:ascii="Times New Roman" w:eastAsia="Times New Roman" w:hAnsi="Times New Roman" w:cs="Times New Roman"/>
          <w:sz w:val="24"/>
          <w:szCs w:val="20"/>
          <w:lang w:eastAsia="es-ES"/>
        </w:rPr>
        <w:t>, en función del número y antigüedad de los edificios del municipio, sin que puedan superarse los plazos siguientes:</w:t>
      </w:r>
    </w:p>
    <w:p w:rsidR="00033AD2" w:rsidRPr="00033AD2" w:rsidRDefault="00033AD2" w:rsidP="00033AD2">
      <w:pPr>
        <w:pStyle w:val="Prrafodelista"/>
        <w:numPr>
          <w:ilvl w:val="0"/>
          <w:numId w:val="12"/>
        </w:numPr>
        <w:tabs>
          <w:tab w:val="left" w:pos="-2268"/>
        </w:tabs>
        <w:spacing w:before="240" w:after="0" w:line="360" w:lineRule="auto"/>
        <w:jc w:val="both"/>
        <w:rPr>
          <w:rFonts w:ascii="Times New Roman" w:eastAsia="Times New Roman" w:hAnsi="Times New Roman" w:cs="Times New Roman"/>
          <w:sz w:val="24"/>
          <w:szCs w:val="20"/>
          <w:lang w:eastAsia="es-ES"/>
        </w:rPr>
      </w:pPr>
      <w:r w:rsidRPr="00033AD2">
        <w:rPr>
          <w:rFonts w:ascii="Times New Roman" w:eastAsia="Times New Roman" w:hAnsi="Times New Roman" w:cs="Times New Roman"/>
          <w:sz w:val="24"/>
          <w:szCs w:val="20"/>
          <w:lang w:eastAsia="es-ES"/>
        </w:rPr>
        <w:t xml:space="preserve"> Hasta 1 año desde la entrada en vigor de este decreto, para los edificios catalogados.</w:t>
      </w:r>
    </w:p>
    <w:p w:rsidR="00033AD2" w:rsidRPr="001545A4" w:rsidRDefault="00033AD2" w:rsidP="00033AD2">
      <w:pPr>
        <w:pStyle w:val="Prrafodelista"/>
        <w:numPr>
          <w:ilvl w:val="0"/>
          <w:numId w:val="12"/>
        </w:numPr>
        <w:tabs>
          <w:tab w:val="left" w:pos="-2268"/>
        </w:tabs>
        <w:spacing w:before="240" w:after="0" w:line="360" w:lineRule="auto"/>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Hasta 3 años desde la entrada en vigor de este decreto, para el resto de los edificios con más de 50 años.</w:t>
      </w:r>
    </w:p>
    <w:p w:rsidR="001545A4" w:rsidRPr="00033AD2" w:rsidRDefault="001545A4" w:rsidP="001545A4">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033AD2">
        <w:rPr>
          <w:rFonts w:ascii="Times New Roman" w:eastAsia="Times New Roman" w:hAnsi="Times New Roman" w:cs="Times New Roman"/>
          <w:b/>
          <w:sz w:val="24"/>
          <w:szCs w:val="20"/>
          <w:lang w:eastAsia="es-ES"/>
        </w:rPr>
        <w:t>B) Registro de Informes de Evaluación de Edificios (REGIAE).</w:t>
      </w:r>
    </w:p>
    <w:p w:rsidR="001545A4" w:rsidRPr="001545A4" w:rsidRDefault="00033AD2"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Se</w:t>
      </w:r>
      <w:r w:rsidR="001545A4" w:rsidRPr="001545A4">
        <w:rPr>
          <w:rFonts w:ascii="Times New Roman" w:eastAsia="Times New Roman" w:hAnsi="Times New Roman" w:cs="Times New Roman"/>
          <w:sz w:val="24"/>
          <w:szCs w:val="20"/>
          <w:lang w:eastAsia="es-ES"/>
        </w:rPr>
        <w:t xml:space="preserve"> configura como un registro administrativo público y único para toda Galicia, adscrito al IGVS, que servirá tanto para conocer el estado del parque de viviendas de </w:t>
      </w:r>
      <w:r w:rsidR="001545A4" w:rsidRPr="001545A4">
        <w:rPr>
          <w:rFonts w:ascii="Times New Roman" w:eastAsia="Times New Roman" w:hAnsi="Times New Roman" w:cs="Times New Roman"/>
          <w:sz w:val="24"/>
          <w:szCs w:val="20"/>
          <w:lang w:eastAsia="es-ES"/>
        </w:rPr>
        <w:lastRenderedPageBreak/>
        <w:t>Galicia, como para diseñar las políticas públicas en materia de vivienda, dónde los Ayuntamientos tramitarán la inscripción de los IAE y actualizarán los datos aportados.</w:t>
      </w:r>
    </w:p>
    <w:p w:rsidR="001545A4" w:rsidRPr="001545A4" w:rsidRDefault="001545A4"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545A4">
        <w:rPr>
          <w:rFonts w:ascii="Times New Roman" w:eastAsia="Times New Roman" w:hAnsi="Times New Roman" w:cs="Times New Roman"/>
          <w:sz w:val="24"/>
          <w:szCs w:val="20"/>
          <w:lang w:eastAsia="es-ES"/>
        </w:rPr>
        <w:t>La inscripción será realizada por los Ayuntamientos, que expedirán al interesado el certificado acreditativo que generará la aplicación informática. E</w:t>
      </w:r>
      <w:r w:rsidR="00033AD2">
        <w:rPr>
          <w:rFonts w:ascii="Times New Roman" w:eastAsia="Times New Roman" w:hAnsi="Times New Roman" w:cs="Times New Roman"/>
          <w:sz w:val="24"/>
          <w:szCs w:val="20"/>
          <w:lang w:eastAsia="es-ES"/>
        </w:rPr>
        <w:t>s obligatoria la inscripción d</w:t>
      </w:r>
      <w:r w:rsidRPr="001545A4">
        <w:rPr>
          <w:rFonts w:ascii="Times New Roman" w:eastAsia="Times New Roman" w:hAnsi="Times New Roman" w:cs="Times New Roman"/>
          <w:sz w:val="24"/>
          <w:szCs w:val="20"/>
          <w:lang w:eastAsia="es-ES"/>
        </w:rPr>
        <w:t>el IAE presentado, en el plazo máximo de 3 meses, previa verificación del cumplimiento de los requisitos formales establecidos en este decreto.</w:t>
      </w:r>
    </w:p>
    <w:p w:rsidR="001545A4" w:rsidRDefault="00033AD2" w:rsidP="001545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001545A4" w:rsidRPr="001545A4">
        <w:rPr>
          <w:rFonts w:ascii="Times New Roman" w:eastAsia="Times New Roman" w:hAnsi="Times New Roman" w:cs="Times New Roman"/>
          <w:sz w:val="24"/>
          <w:szCs w:val="20"/>
          <w:lang w:eastAsia="es-ES"/>
        </w:rPr>
        <w:t>a inscripción en el REGIAE no supondrá, en ningún caso, la conformidad del Ayuntamiento con su contenido, dejando intactas en todo momento, las facultades de control e inspección municipales.</w:t>
      </w:r>
    </w:p>
    <w:p w:rsidR="001E3178" w:rsidRPr="001E3178" w:rsidRDefault="001E3178" w:rsidP="001E3178">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1E3178">
        <w:rPr>
          <w:rFonts w:ascii="Times New Roman" w:eastAsia="Times New Roman" w:hAnsi="Times New Roman" w:cs="Times New Roman"/>
          <w:b/>
          <w:sz w:val="24"/>
          <w:szCs w:val="20"/>
          <w:lang w:eastAsia="es-ES"/>
        </w:rPr>
        <w:t>J) ARAGÓN</w:t>
      </w:r>
    </w:p>
    <w:p w:rsidR="001E3178" w:rsidRDefault="001E3178"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 xml:space="preserve">- </w:t>
      </w:r>
      <w:r w:rsidRPr="001E3178">
        <w:rPr>
          <w:rFonts w:ascii="Times New Roman" w:eastAsia="Times New Roman" w:hAnsi="Times New Roman" w:cs="Times New Roman"/>
          <w:b/>
          <w:sz w:val="24"/>
          <w:szCs w:val="20"/>
          <w:u w:val="single"/>
          <w:lang w:eastAsia="es-ES"/>
        </w:rPr>
        <w:t>Ley 1/2021, de 11 de febrero, de simplificación administrativa</w:t>
      </w:r>
      <w:r w:rsidRPr="001E3178">
        <w:rPr>
          <w:rFonts w:ascii="Times New Roman" w:eastAsia="Times New Roman" w:hAnsi="Times New Roman" w:cs="Times New Roman"/>
          <w:sz w:val="24"/>
          <w:szCs w:val="20"/>
          <w:lang w:eastAsia="es-ES"/>
        </w:rPr>
        <w:t xml:space="preserve"> (BOA núm. 39, de 23 de febrero)</w:t>
      </w:r>
    </w:p>
    <w:p w:rsidR="0058720D" w:rsidRDefault="0058720D"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Esta Ley tiene por objeto el establecimiento de medidas de simplificación administrativa para promover la mejora de los procesos regulatorios, de gestión y la organización de la Administración de la C. A. A. y su sector público. Dispone, igualmente, que todas las entidades y órganos que integran el sector público </w:t>
      </w:r>
      <w:r w:rsidR="00846594">
        <w:rPr>
          <w:rFonts w:ascii="Times New Roman" w:eastAsia="Times New Roman" w:hAnsi="Times New Roman" w:cs="Times New Roman"/>
          <w:sz w:val="24"/>
          <w:szCs w:val="20"/>
          <w:lang w:eastAsia="es-ES"/>
        </w:rPr>
        <w:t>autonómico</w:t>
      </w:r>
      <w:r>
        <w:rPr>
          <w:rFonts w:ascii="Times New Roman" w:eastAsia="Times New Roman" w:hAnsi="Times New Roman" w:cs="Times New Roman"/>
          <w:sz w:val="24"/>
          <w:szCs w:val="20"/>
          <w:lang w:eastAsia="es-ES"/>
        </w:rPr>
        <w:t xml:space="preserve"> deberán promover de forma efectiva la simplificación administrativa en sus respectivos ámbitos de competencias.</w:t>
      </w:r>
    </w:p>
    <w:p w:rsidR="00846594"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lo que al contenido de este informe se refiere, merece destacar, por un lado, la regulación del régimen general de declaración responsable y comunicación y, por otro, las modificaciones normativas previstas en las disposiciones finales de la Ley.</w:t>
      </w:r>
    </w:p>
    <w:p w:rsidR="0058720D"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0058720D">
        <w:rPr>
          <w:rFonts w:ascii="Times New Roman" w:eastAsia="Times New Roman" w:hAnsi="Times New Roman" w:cs="Times New Roman"/>
          <w:sz w:val="24"/>
          <w:szCs w:val="20"/>
          <w:lang w:eastAsia="es-ES"/>
        </w:rPr>
        <w:t xml:space="preserve">l </w:t>
      </w:r>
      <w:r w:rsidR="001E3178" w:rsidRPr="001E3178">
        <w:rPr>
          <w:rFonts w:ascii="Times New Roman" w:eastAsia="Times New Roman" w:hAnsi="Times New Roman" w:cs="Times New Roman"/>
          <w:sz w:val="24"/>
          <w:szCs w:val="20"/>
          <w:lang w:eastAsia="es-ES"/>
        </w:rPr>
        <w:t>T</w:t>
      </w:r>
      <w:r w:rsidR="0058720D">
        <w:rPr>
          <w:rFonts w:ascii="Times New Roman" w:eastAsia="Times New Roman" w:hAnsi="Times New Roman" w:cs="Times New Roman"/>
          <w:sz w:val="24"/>
          <w:szCs w:val="20"/>
          <w:lang w:eastAsia="es-ES"/>
        </w:rPr>
        <w:t xml:space="preserve">ítulo </w:t>
      </w:r>
      <w:r w:rsidR="001E3178" w:rsidRPr="001E3178">
        <w:rPr>
          <w:rFonts w:ascii="Times New Roman" w:eastAsia="Times New Roman" w:hAnsi="Times New Roman" w:cs="Times New Roman"/>
          <w:sz w:val="24"/>
          <w:szCs w:val="20"/>
          <w:lang w:eastAsia="es-ES"/>
        </w:rPr>
        <w:t>III</w:t>
      </w:r>
      <w:r w:rsidR="0058720D">
        <w:rPr>
          <w:rFonts w:ascii="Times New Roman" w:eastAsia="Times New Roman" w:hAnsi="Times New Roman" w:cs="Times New Roman"/>
          <w:sz w:val="24"/>
          <w:szCs w:val="20"/>
          <w:lang w:eastAsia="es-ES"/>
        </w:rPr>
        <w:t xml:space="preserve"> de la Ley, denominado “</w:t>
      </w:r>
      <w:r w:rsidR="001E3178" w:rsidRPr="00846594">
        <w:rPr>
          <w:rFonts w:ascii="Times New Roman" w:eastAsia="Times New Roman" w:hAnsi="Times New Roman" w:cs="Times New Roman"/>
          <w:i/>
          <w:sz w:val="24"/>
          <w:szCs w:val="20"/>
          <w:lang w:eastAsia="es-ES"/>
        </w:rPr>
        <w:t>Impulso de la gestión administrativa y de la actividad económica</w:t>
      </w:r>
      <w:r w:rsidR="0058720D">
        <w:rPr>
          <w:rFonts w:ascii="Times New Roman" w:eastAsia="Times New Roman" w:hAnsi="Times New Roman" w:cs="Times New Roman"/>
          <w:sz w:val="24"/>
          <w:szCs w:val="20"/>
          <w:lang w:eastAsia="es-ES"/>
        </w:rPr>
        <w:t>”, incluye un Capítulo Primero relativo a la inter</w:t>
      </w:r>
      <w:r w:rsidR="001E3178" w:rsidRPr="001E3178">
        <w:rPr>
          <w:rFonts w:ascii="Times New Roman" w:eastAsia="Times New Roman" w:hAnsi="Times New Roman" w:cs="Times New Roman"/>
          <w:sz w:val="24"/>
          <w:szCs w:val="20"/>
          <w:lang w:eastAsia="es-ES"/>
        </w:rPr>
        <w:t>vención administrativa</w:t>
      </w:r>
      <w:r w:rsidR="0058720D">
        <w:rPr>
          <w:rFonts w:ascii="Times New Roman" w:eastAsia="Times New Roman" w:hAnsi="Times New Roman" w:cs="Times New Roman"/>
          <w:sz w:val="24"/>
          <w:szCs w:val="20"/>
          <w:lang w:eastAsia="es-ES"/>
        </w:rPr>
        <w:t xml:space="preserve">. </w:t>
      </w:r>
    </w:p>
    <w:p w:rsidR="001E3178" w:rsidRPr="001E3178" w:rsidRDefault="0058720D"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Como principio fundamental establece la </w:t>
      </w:r>
      <w:r w:rsidRPr="00543712">
        <w:rPr>
          <w:rFonts w:ascii="Times New Roman" w:eastAsia="Times New Roman" w:hAnsi="Times New Roman" w:cs="Times New Roman"/>
          <w:b/>
          <w:sz w:val="24"/>
          <w:szCs w:val="20"/>
          <w:u w:val="single"/>
          <w:lang w:eastAsia="es-ES"/>
        </w:rPr>
        <w:t xml:space="preserve">racionalización de la intervención </w:t>
      </w:r>
      <w:r w:rsidR="001E3178" w:rsidRPr="00543712">
        <w:rPr>
          <w:rFonts w:ascii="Times New Roman" w:eastAsia="Times New Roman" w:hAnsi="Times New Roman" w:cs="Times New Roman"/>
          <w:b/>
          <w:sz w:val="24"/>
          <w:szCs w:val="20"/>
          <w:u w:val="single"/>
          <w:lang w:eastAsia="es-ES"/>
        </w:rPr>
        <w:t>administrativa</w:t>
      </w:r>
      <w:r>
        <w:rPr>
          <w:rFonts w:ascii="Times New Roman" w:eastAsia="Times New Roman" w:hAnsi="Times New Roman" w:cs="Times New Roman"/>
          <w:sz w:val="24"/>
          <w:szCs w:val="20"/>
          <w:lang w:eastAsia="es-ES"/>
        </w:rPr>
        <w:t xml:space="preserve"> instando a l</w:t>
      </w:r>
      <w:r w:rsidR="001E3178" w:rsidRPr="001E3178">
        <w:rPr>
          <w:rFonts w:ascii="Times New Roman" w:eastAsia="Times New Roman" w:hAnsi="Times New Roman" w:cs="Times New Roman"/>
          <w:sz w:val="24"/>
          <w:szCs w:val="20"/>
          <w:lang w:eastAsia="es-ES"/>
        </w:rPr>
        <w:t xml:space="preserve">os órganos y entidades del sector público autonómico </w:t>
      </w:r>
      <w:r>
        <w:rPr>
          <w:rFonts w:ascii="Times New Roman" w:eastAsia="Times New Roman" w:hAnsi="Times New Roman" w:cs="Times New Roman"/>
          <w:sz w:val="24"/>
          <w:szCs w:val="20"/>
          <w:lang w:eastAsia="es-ES"/>
        </w:rPr>
        <w:t>la promoción</w:t>
      </w:r>
      <w:r w:rsidR="001E3178" w:rsidRPr="001E3178">
        <w:rPr>
          <w:rFonts w:ascii="Times New Roman" w:eastAsia="Times New Roman" w:hAnsi="Times New Roman" w:cs="Times New Roman"/>
          <w:sz w:val="24"/>
          <w:szCs w:val="20"/>
          <w:lang w:eastAsia="es-ES"/>
        </w:rPr>
        <w:t xml:space="preserve"> en los procedimientos de su competencia </w:t>
      </w:r>
      <w:r>
        <w:rPr>
          <w:rFonts w:ascii="Times New Roman" w:eastAsia="Times New Roman" w:hAnsi="Times New Roman" w:cs="Times New Roman"/>
          <w:sz w:val="24"/>
          <w:szCs w:val="20"/>
          <w:lang w:eastAsia="es-ES"/>
        </w:rPr>
        <w:t xml:space="preserve">de </w:t>
      </w:r>
      <w:r w:rsidR="001E3178" w:rsidRPr="001E3178">
        <w:rPr>
          <w:rFonts w:ascii="Times New Roman" w:eastAsia="Times New Roman" w:hAnsi="Times New Roman" w:cs="Times New Roman"/>
          <w:sz w:val="24"/>
          <w:szCs w:val="20"/>
          <w:lang w:eastAsia="es-ES"/>
        </w:rPr>
        <w:t xml:space="preserve">la utilización de la declaración responsable y la comunicación como técnicas de intervención administrativa sobre la actividad de los particulares en el marco establecido en la normativa básica del Estado y </w:t>
      </w:r>
      <w:r w:rsidR="001E3178" w:rsidRPr="001E3178">
        <w:rPr>
          <w:rFonts w:ascii="Times New Roman" w:eastAsia="Times New Roman" w:hAnsi="Times New Roman" w:cs="Times New Roman"/>
          <w:sz w:val="24"/>
          <w:szCs w:val="20"/>
          <w:lang w:eastAsia="es-ES"/>
        </w:rPr>
        <w:lastRenderedPageBreak/>
        <w:t>la normativa sectorial aplicable.</w:t>
      </w:r>
      <w:r>
        <w:rPr>
          <w:rFonts w:ascii="Times New Roman" w:eastAsia="Times New Roman" w:hAnsi="Times New Roman" w:cs="Times New Roman"/>
          <w:sz w:val="24"/>
          <w:szCs w:val="20"/>
          <w:lang w:eastAsia="es-ES"/>
        </w:rPr>
        <w:t xml:space="preserve"> Al mismo tiempo, obliga a la revisión periódica d</w:t>
      </w:r>
      <w:r w:rsidR="001E3178" w:rsidRPr="001E3178">
        <w:rPr>
          <w:rFonts w:ascii="Times New Roman" w:eastAsia="Times New Roman" w:hAnsi="Times New Roman" w:cs="Times New Roman"/>
          <w:sz w:val="24"/>
          <w:szCs w:val="20"/>
          <w:lang w:eastAsia="es-ES"/>
        </w:rPr>
        <w:t>e los procedimientos autorizatorios de su competencia con objeto de analizar la posibilidad de sustituir autorizaciones o licencias por declaraciones responsables o comunicaciones coincidiendo con la elaboración.</w:t>
      </w:r>
    </w:p>
    <w:p w:rsidR="001E3178" w:rsidRPr="001E3178" w:rsidRDefault="0058720D"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orden a la </w:t>
      </w:r>
      <w:r w:rsidRPr="00543712">
        <w:rPr>
          <w:rFonts w:ascii="Times New Roman" w:eastAsia="Times New Roman" w:hAnsi="Times New Roman" w:cs="Times New Roman"/>
          <w:b/>
          <w:sz w:val="24"/>
          <w:szCs w:val="20"/>
          <w:u w:val="single"/>
          <w:lang w:eastAsia="es-ES"/>
        </w:rPr>
        <w:t>a</w:t>
      </w:r>
      <w:r w:rsidR="001E3178" w:rsidRPr="00543712">
        <w:rPr>
          <w:rFonts w:ascii="Times New Roman" w:eastAsia="Times New Roman" w:hAnsi="Times New Roman" w:cs="Times New Roman"/>
          <w:b/>
          <w:sz w:val="24"/>
          <w:szCs w:val="20"/>
          <w:u w:val="single"/>
          <w:lang w:eastAsia="es-ES"/>
        </w:rPr>
        <w:t>plicación de la declaración responsable y comunicación</w:t>
      </w:r>
      <w:r>
        <w:rPr>
          <w:rFonts w:ascii="Times New Roman" w:eastAsia="Times New Roman" w:hAnsi="Times New Roman" w:cs="Times New Roman"/>
          <w:sz w:val="24"/>
          <w:szCs w:val="20"/>
          <w:lang w:eastAsia="es-ES"/>
        </w:rPr>
        <w:t>, el artículo 15 de la Ley generaliza su aplicación “</w:t>
      </w:r>
      <w:r w:rsidR="001E3178" w:rsidRPr="0058720D">
        <w:rPr>
          <w:rFonts w:ascii="Times New Roman" w:eastAsia="Times New Roman" w:hAnsi="Times New Roman" w:cs="Times New Roman"/>
          <w:i/>
          <w:sz w:val="24"/>
          <w:szCs w:val="20"/>
          <w:lang w:eastAsia="es-ES"/>
        </w:rPr>
        <w:t>en cualquier ámbito de competencia autonómica, con la única excepción de los supuestos en los que la normativa de la Unión Europea o del Estado, de aplicación directa o básica, exija declaraciones, autorizaciones o licencias previas</w:t>
      </w:r>
      <w:r>
        <w:rPr>
          <w:rFonts w:ascii="Times New Roman" w:eastAsia="Times New Roman" w:hAnsi="Times New Roman" w:cs="Times New Roman"/>
          <w:sz w:val="24"/>
          <w:szCs w:val="20"/>
          <w:lang w:eastAsia="es-ES"/>
        </w:rPr>
        <w:t xml:space="preserve">”, aunque admite la excepción del mantenimiento de autorizaciones </w:t>
      </w:r>
      <w:r w:rsidR="001E3178" w:rsidRPr="001E3178">
        <w:rPr>
          <w:rFonts w:ascii="Times New Roman" w:eastAsia="Times New Roman" w:hAnsi="Times New Roman" w:cs="Times New Roman"/>
          <w:sz w:val="24"/>
          <w:szCs w:val="20"/>
          <w:lang w:eastAsia="es-ES"/>
        </w:rPr>
        <w:t>o licencias previas mediante norma con rango de ley por razones imperiosas de interés general</w:t>
      </w:r>
      <w:r>
        <w:rPr>
          <w:rFonts w:ascii="Times New Roman" w:eastAsia="Times New Roman" w:hAnsi="Times New Roman" w:cs="Times New Roman"/>
          <w:sz w:val="24"/>
          <w:szCs w:val="20"/>
          <w:lang w:eastAsia="es-ES"/>
        </w:rPr>
        <w:t>, debidamente justificado en la memoria de la norma</w:t>
      </w:r>
      <w:r w:rsidR="001E3178" w:rsidRPr="001E3178">
        <w:rPr>
          <w:rFonts w:ascii="Times New Roman" w:eastAsia="Times New Roman" w:hAnsi="Times New Roman" w:cs="Times New Roman"/>
          <w:sz w:val="24"/>
          <w:szCs w:val="20"/>
          <w:lang w:eastAsia="es-ES"/>
        </w:rPr>
        <w:t xml:space="preserve">. </w:t>
      </w:r>
    </w:p>
    <w:p w:rsidR="0058720D" w:rsidRDefault="001E3178"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 xml:space="preserve">En la </w:t>
      </w:r>
      <w:r w:rsidR="0058720D">
        <w:rPr>
          <w:rFonts w:ascii="Times New Roman" w:eastAsia="Times New Roman" w:hAnsi="Times New Roman" w:cs="Times New Roman"/>
          <w:sz w:val="24"/>
          <w:szCs w:val="20"/>
          <w:lang w:eastAsia="es-ES"/>
        </w:rPr>
        <w:t>DR</w:t>
      </w:r>
      <w:r w:rsidRPr="001E3178">
        <w:rPr>
          <w:rFonts w:ascii="Times New Roman" w:eastAsia="Times New Roman" w:hAnsi="Times New Roman" w:cs="Times New Roman"/>
          <w:sz w:val="24"/>
          <w:szCs w:val="20"/>
          <w:lang w:eastAsia="es-ES"/>
        </w:rPr>
        <w:t xml:space="preserve"> constará la manifestación del declarante, bajo su responsabilidad, de</w:t>
      </w:r>
      <w:r w:rsidR="00846594">
        <w:rPr>
          <w:rFonts w:ascii="Times New Roman" w:eastAsia="Times New Roman" w:hAnsi="Times New Roman" w:cs="Times New Roman"/>
          <w:sz w:val="24"/>
          <w:szCs w:val="20"/>
          <w:lang w:eastAsia="es-ES"/>
        </w:rPr>
        <w:t xml:space="preserve"> manera expresa, clara y precisa de</w:t>
      </w:r>
      <w:r w:rsidR="0058720D">
        <w:rPr>
          <w:rFonts w:ascii="Times New Roman" w:eastAsia="Times New Roman" w:hAnsi="Times New Roman" w:cs="Times New Roman"/>
          <w:sz w:val="24"/>
          <w:szCs w:val="20"/>
          <w:lang w:eastAsia="es-ES"/>
        </w:rPr>
        <w:t>:</w:t>
      </w:r>
    </w:p>
    <w:p w:rsidR="0058720D" w:rsidRPr="0058720D" w:rsidRDefault="0058720D" w:rsidP="0058720D">
      <w:pPr>
        <w:pStyle w:val="Prrafodelista"/>
        <w:numPr>
          <w:ilvl w:val="0"/>
          <w:numId w:val="22"/>
        </w:numPr>
        <w:tabs>
          <w:tab w:val="left" w:pos="-2268"/>
        </w:tabs>
        <w:spacing w:before="240" w:after="0" w:line="360" w:lineRule="auto"/>
        <w:jc w:val="both"/>
        <w:rPr>
          <w:rFonts w:ascii="Times New Roman" w:eastAsia="Times New Roman" w:hAnsi="Times New Roman" w:cs="Times New Roman"/>
          <w:sz w:val="24"/>
          <w:szCs w:val="20"/>
          <w:lang w:eastAsia="es-ES"/>
        </w:rPr>
      </w:pPr>
      <w:r w:rsidRPr="0058720D">
        <w:rPr>
          <w:rFonts w:ascii="Times New Roman" w:eastAsia="Times New Roman" w:hAnsi="Times New Roman" w:cs="Times New Roman"/>
          <w:sz w:val="24"/>
          <w:szCs w:val="20"/>
          <w:lang w:eastAsia="es-ES"/>
        </w:rPr>
        <w:t xml:space="preserve">el cumplimiento de </w:t>
      </w:r>
      <w:r w:rsidR="001E3178" w:rsidRPr="0058720D">
        <w:rPr>
          <w:rFonts w:ascii="Times New Roman" w:eastAsia="Times New Roman" w:hAnsi="Times New Roman" w:cs="Times New Roman"/>
          <w:sz w:val="24"/>
          <w:szCs w:val="20"/>
          <w:lang w:eastAsia="es-ES"/>
        </w:rPr>
        <w:t xml:space="preserve">los requisitos establecidos en la normativa vigente para obtener el reconocimiento de un derecho o facultad o para su ejercicio, </w:t>
      </w:r>
    </w:p>
    <w:p w:rsidR="0058720D" w:rsidRDefault="0058720D" w:rsidP="0058720D">
      <w:pPr>
        <w:pStyle w:val="Prrafodelista"/>
        <w:numPr>
          <w:ilvl w:val="0"/>
          <w:numId w:val="22"/>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disposición d</w:t>
      </w:r>
      <w:r w:rsidR="001E3178" w:rsidRPr="001E3178">
        <w:rPr>
          <w:rFonts w:ascii="Times New Roman" w:eastAsia="Times New Roman" w:hAnsi="Times New Roman" w:cs="Times New Roman"/>
          <w:sz w:val="24"/>
          <w:szCs w:val="20"/>
          <w:lang w:eastAsia="es-ES"/>
        </w:rPr>
        <w:t>e la documentación que así lo acredita,</w:t>
      </w:r>
    </w:p>
    <w:p w:rsidR="0058720D" w:rsidRDefault="0058720D" w:rsidP="0058720D">
      <w:pPr>
        <w:pStyle w:val="Prrafodelista"/>
        <w:numPr>
          <w:ilvl w:val="0"/>
          <w:numId w:val="22"/>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manifestación de</w:t>
      </w:r>
      <w:r w:rsidR="001E3178" w:rsidRPr="001E3178">
        <w:rPr>
          <w:rFonts w:ascii="Times New Roman" w:eastAsia="Times New Roman" w:hAnsi="Times New Roman" w:cs="Times New Roman"/>
          <w:sz w:val="24"/>
          <w:szCs w:val="20"/>
          <w:lang w:eastAsia="es-ES"/>
        </w:rPr>
        <w:t xml:space="preserve"> que la pondrá a disposición de la Administración cuando le sea requerida, y </w:t>
      </w:r>
    </w:p>
    <w:p w:rsidR="001E3178" w:rsidRPr="001E3178" w:rsidRDefault="0058720D" w:rsidP="0058720D">
      <w:pPr>
        <w:pStyle w:val="Prrafodelista"/>
        <w:numPr>
          <w:ilvl w:val="0"/>
          <w:numId w:val="22"/>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compromiso </w:t>
      </w:r>
      <w:r w:rsidR="001E3178" w:rsidRPr="001E3178">
        <w:rPr>
          <w:rFonts w:ascii="Times New Roman" w:eastAsia="Times New Roman" w:hAnsi="Times New Roman" w:cs="Times New Roman"/>
          <w:sz w:val="24"/>
          <w:szCs w:val="20"/>
          <w:lang w:eastAsia="es-ES"/>
        </w:rPr>
        <w:t xml:space="preserve">de mantener el cumplimiento de </w:t>
      </w:r>
      <w:r w:rsidR="00846594">
        <w:rPr>
          <w:rFonts w:ascii="Times New Roman" w:eastAsia="Times New Roman" w:hAnsi="Times New Roman" w:cs="Times New Roman"/>
          <w:sz w:val="24"/>
          <w:szCs w:val="20"/>
          <w:lang w:eastAsia="es-ES"/>
        </w:rPr>
        <w:t>esas</w:t>
      </w:r>
      <w:r w:rsidR="001E3178" w:rsidRPr="001E3178">
        <w:rPr>
          <w:rFonts w:ascii="Times New Roman" w:eastAsia="Times New Roman" w:hAnsi="Times New Roman" w:cs="Times New Roman"/>
          <w:sz w:val="24"/>
          <w:szCs w:val="20"/>
          <w:lang w:eastAsia="es-ES"/>
        </w:rPr>
        <w:t xml:space="preserve"> obligaciones durante el período de tiempo inherente a dicho reconocimiento o ejercicio. </w:t>
      </w:r>
    </w:p>
    <w:p w:rsidR="001E3178" w:rsidRPr="001E3178"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Previo a la implementación del régimen de DR o comunicación, e</w:t>
      </w:r>
      <w:r w:rsidR="001E3178" w:rsidRPr="001E3178">
        <w:rPr>
          <w:rFonts w:ascii="Times New Roman" w:eastAsia="Times New Roman" w:hAnsi="Times New Roman" w:cs="Times New Roman"/>
          <w:sz w:val="24"/>
          <w:szCs w:val="20"/>
          <w:lang w:eastAsia="es-ES"/>
        </w:rPr>
        <w:t xml:space="preserve">l órgano o entidad del sector público que </w:t>
      </w:r>
      <w:r>
        <w:rPr>
          <w:rFonts w:ascii="Times New Roman" w:eastAsia="Times New Roman" w:hAnsi="Times New Roman" w:cs="Times New Roman"/>
          <w:sz w:val="24"/>
          <w:szCs w:val="20"/>
          <w:lang w:eastAsia="es-ES"/>
        </w:rPr>
        <w:t xml:space="preserve">lo </w:t>
      </w:r>
      <w:r w:rsidR="001E3178" w:rsidRPr="001E3178">
        <w:rPr>
          <w:rFonts w:ascii="Times New Roman" w:eastAsia="Times New Roman" w:hAnsi="Times New Roman" w:cs="Times New Roman"/>
          <w:sz w:val="24"/>
          <w:szCs w:val="20"/>
          <w:lang w:eastAsia="es-ES"/>
        </w:rPr>
        <w:t>promueva deberá contar</w:t>
      </w:r>
      <w:r>
        <w:rPr>
          <w:rFonts w:ascii="Times New Roman" w:eastAsia="Times New Roman" w:hAnsi="Times New Roman" w:cs="Times New Roman"/>
          <w:sz w:val="24"/>
          <w:szCs w:val="20"/>
          <w:lang w:eastAsia="es-ES"/>
        </w:rPr>
        <w:t xml:space="preserve"> </w:t>
      </w:r>
      <w:r w:rsidR="001E3178" w:rsidRPr="001E3178">
        <w:rPr>
          <w:rFonts w:ascii="Times New Roman" w:eastAsia="Times New Roman" w:hAnsi="Times New Roman" w:cs="Times New Roman"/>
          <w:sz w:val="24"/>
          <w:szCs w:val="20"/>
          <w:lang w:eastAsia="es-ES"/>
        </w:rPr>
        <w:t>con servicios de inspección y control con capacidad suficiente para asumir las funciones de comprobación, inspección y sanción en el ámbito de que se trate.</w:t>
      </w:r>
    </w:p>
    <w:p w:rsidR="001E3178" w:rsidRPr="001E3178"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w:t>
      </w:r>
      <w:r w:rsidR="001E3178" w:rsidRPr="001E3178">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c</w:t>
      </w:r>
      <w:r w:rsidR="001E3178" w:rsidRPr="001E3178">
        <w:rPr>
          <w:rFonts w:ascii="Times New Roman" w:eastAsia="Times New Roman" w:hAnsi="Times New Roman" w:cs="Times New Roman"/>
          <w:sz w:val="24"/>
          <w:szCs w:val="20"/>
          <w:lang w:eastAsia="es-ES"/>
        </w:rPr>
        <w:t>omunicación</w:t>
      </w:r>
      <w:r>
        <w:rPr>
          <w:rFonts w:ascii="Times New Roman" w:eastAsia="Times New Roman" w:hAnsi="Times New Roman" w:cs="Times New Roman"/>
          <w:sz w:val="24"/>
          <w:szCs w:val="20"/>
          <w:lang w:eastAsia="es-ES"/>
        </w:rPr>
        <w:t>, entendida como e</w:t>
      </w:r>
      <w:r w:rsidR="001E3178" w:rsidRPr="001E3178">
        <w:rPr>
          <w:rFonts w:ascii="Times New Roman" w:eastAsia="Times New Roman" w:hAnsi="Times New Roman" w:cs="Times New Roman"/>
          <w:sz w:val="24"/>
          <w:szCs w:val="20"/>
          <w:lang w:eastAsia="es-ES"/>
        </w:rPr>
        <w:t xml:space="preserve">l documento mediante el </w:t>
      </w:r>
      <w:r>
        <w:rPr>
          <w:rFonts w:ascii="Times New Roman" w:eastAsia="Times New Roman" w:hAnsi="Times New Roman" w:cs="Times New Roman"/>
          <w:sz w:val="24"/>
          <w:szCs w:val="20"/>
          <w:lang w:eastAsia="es-ES"/>
        </w:rPr>
        <w:t>cual</w:t>
      </w:r>
      <w:r w:rsidR="001E3178" w:rsidRPr="001E3178">
        <w:rPr>
          <w:rFonts w:ascii="Times New Roman" w:eastAsia="Times New Roman" w:hAnsi="Times New Roman" w:cs="Times New Roman"/>
          <w:sz w:val="24"/>
          <w:szCs w:val="20"/>
          <w:lang w:eastAsia="es-ES"/>
        </w:rPr>
        <w:t xml:space="preserve"> los interesados ponen en conocimiento de la Administración pública competente sus datos identificativos o cualquier otro dato relevante para el inicio de una actividad o el ejercicio de un derecho</w:t>
      </w:r>
      <w:r>
        <w:rPr>
          <w:rFonts w:ascii="Times New Roman" w:eastAsia="Times New Roman" w:hAnsi="Times New Roman" w:cs="Times New Roman"/>
          <w:sz w:val="24"/>
          <w:szCs w:val="20"/>
          <w:lang w:eastAsia="es-ES"/>
        </w:rPr>
        <w:t xml:space="preserve">, </w:t>
      </w:r>
      <w:r w:rsidR="001E3178" w:rsidRPr="001E3178">
        <w:rPr>
          <w:rFonts w:ascii="Times New Roman" w:eastAsia="Times New Roman" w:hAnsi="Times New Roman" w:cs="Times New Roman"/>
          <w:sz w:val="24"/>
          <w:szCs w:val="20"/>
          <w:lang w:eastAsia="es-ES"/>
        </w:rPr>
        <w:t>podrá presentarse dentro de un plazo posterior al inicio de la actividad cuando la legislación correspondiente lo prevea expresamente.</w:t>
      </w:r>
    </w:p>
    <w:p w:rsidR="001E3178" w:rsidRPr="001E3178"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 xml:space="preserve">Tanto la DR como la comunicación </w:t>
      </w:r>
      <w:r w:rsidR="001E3178" w:rsidRPr="001E3178">
        <w:rPr>
          <w:rFonts w:ascii="Times New Roman" w:eastAsia="Times New Roman" w:hAnsi="Times New Roman" w:cs="Times New Roman"/>
          <w:sz w:val="24"/>
          <w:szCs w:val="20"/>
          <w:lang w:eastAsia="es-ES"/>
        </w:rPr>
        <w:t>permitirán el reconocimiento o ejercicio de un derecho o bien el inicio de una actividad, desde el día de su presentación, sin perjuicio de las facultades de comprobación, control e inspección que tengan atribuidas las Administraciones públicas.</w:t>
      </w:r>
    </w:p>
    <w:p w:rsidR="001E3178" w:rsidRPr="001E3178" w:rsidRDefault="001E3178"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 xml:space="preserve">Únicamente será exigible, bien una </w:t>
      </w:r>
      <w:r w:rsidR="00846594">
        <w:rPr>
          <w:rFonts w:ascii="Times New Roman" w:eastAsia="Times New Roman" w:hAnsi="Times New Roman" w:cs="Times New Roman"/>
          <w:sz w:val="24"/>
          <w:szCs w:val="20"/>
          <w:lang w:eastAsia="es-ES"/>
        </w:rPr>
        <w:t>DR,</w:t>
      </w:r>
      <w:r w:rsidRPr="001E3178">
        <w:rPr>
          <w:rFonts w:ascii="Times New Roman" w:eastAsia="Times New Roman" w:hAnsi="Times New Roman" w:cs="Times New Roman"/>
          <w:sz w:val="24"/>
          <w:szCs w:val="20"/>
          <w:lang w:eastAsia="es-ES"/>
        </w:rPr>
        <w:t xml:space="preserve"> bien una comunicación, para iniciar una misma actividad u obtener el reconocimiento de un mismo derecho o facultad para su ejercicio, sin que sea posible la exigencia de ambas acumulativamente.</w:t>
      </w:r>
    </w:p>
    <w:p w:rsidR="001E3178" w:rsidRPr="001E3178" w:rsidRDefault="001E3178"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Las A</w:t>
      </w:r>
      <w:r w:rsidR="00846594">
        <w:rPr>
          <w:rFonts w:ascii="Times New Roman" w:eastAsia="Times New Roman" w:hAnsi="Times New Roman" w:cs="Times New Roman"/>
          <w:sz w:val="24"/>
          <w:szCs w:val="20"/>
          <w:lang w:eastAsia="es-ES"/>
        </w:rPr>
        <w:t>A. PP.</w:t>
      </w:r>
      <w:r w:rsidRPr="001E3178">
        <w:rPr>
          <w:rFonts w:ascii="Times New Roman" w:eastAsia="Times New Roman" w:hAnsi="Times New Roman" w:cs="Times New Roman"/>
          <w:sz w:val="24"/>
          <w:szCs w:val="20"/>
          <w:lang w:eastAsia="es-ES"/>
        </w:rPr>
        <w:t xml:space="preserve"> podrán requerir en cualquier momento, en el ejercicio de su potestad de inspección y control, </w:t>
      </w:r>
      <w:r w:rsidR="00846594">
        <w:rPr>
          <w:rFonts w:ascii="Times New Roman" w:eastAsia="Times New Roman" w:hAnsi="Times New Roman" w:cs="Times New Roman"/>
          <w:sz w:val="24"/>
          <w:szCs w:val="20"/>
          <w:lang w:eastAsia="es-ES"/>
        </w:rPr>
        <w:t>la aportación de</w:t>
      </w:r>
      <w:r w:rsidRPr="001E3178">
        <w:rPr>
          <w:rFonts w:ascii="Times New Roman" w:eastAsia="Times New Roman" w:hAnsi="Times New Roman" w:cs="Times New Roman"/>
          <w:sz w:val="24"/>
          <w:szCs w:val="20"/>
          <w:lang w:eastAsia="es-ES"/>
        </w:rPr>
        <w:t xml:space="preserve"> la documentación exigible conforme a la normativa que resulte de aplicación y el interesado deberá aportarla.</w:t>
      </w:r>
    </w:p>
    <w:p w:rsidR="001E3178" w:rsidRDefault="00846594"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Se faculta a las </w:t>
      </w:r>
      <w:r w:rsidR="001E3178" w:rsidRPr="001E3178">
        <w:rPr>
          <w:rFonts w:ascii="Times New Roman" w:eastAsia="Times New Roman" w:hAnsi="Times New Roman" w:cs="Times New Roman"/>
          <w:sz w:val="24"/>
          <w:szCs w:val="20"/>
          <w:lang w:eastAsia="es-ES"/>
        </w:rPr>
        <w:t>entidad</w:t>
      </w:r>
      <w:r>
        <w:rPr>
          <w:rFonts w:ascii="Times New Roman" w:eastAsia="Times New Roman" w:hAnsi="Times New Roman" w:cs="Times New Roman"/>
          <w:sz w:val="24"/>
          <w:szCs w:val="20"/>
          <w:lang w:eastAsia="es-ES"/>
        </w:rPr>
        <w:t>es</w:t>
      </w:r>
      <w:r w:rsidR="001E3178" w:rsidRPr="001E3178">
        <w:rPr>
          <w:rFonts w:ascii="Times New Roman" w:eastAsia="Times New Roman" w:hAnsi="Times New Roman" w:cs="Times New Roman"/>
          <w:sz w:val="24"/>
          <w:szCs w:val="20"/>
          <w:lang w:eastAsia="es-ES"/>
        </w:rPr>
        <w:t xml:space="preserve"> colaboradora</w:t>
      </w:r>
      <w:r>
        <w:rPr>
          <w:rFonts w:ascii="Times New Roman" w:eastAsia="Times New Roman" w:hAnsi="Times New Roman" w:cs="Times New Roman"/>
          <w:sz w:val="24"/>
          <w:szCs w:val="20"/>
          <w:lang w:eastAsia="es-ES"/>
        </w:rPr>
        <w:t>s</w:t>
      </w:r>
      <w:r w:rsidR="001E3178" w:rsidRPr="001E3178">
        <w:rPr>
          <w:rFonts w:ascii="Times New Roman" w:eastAsia="Times New Roman" w:hAnsi="Times New Roman" w:cs="Times New Roman"/>
          <w:sz w:val="24"/>
          <w:szCs w:val="20"/>
          <w:lang w:eastAsia="es-ES"/>
        </w:rPr>
        <w:t xml:space="preserve"> de certificación a </w:t>
      </w:r>
      <w:r>
        <w:rPr>
          <w:rFonts w:ascii="Times New Roman" w:eastAsia="Times New Roman" w:hAnsi="Times New Roman" w:cs="Times New Roman"/>
          <w:sz w:val="24"/>
          <w:szCs w:val="20"/>
          <w:lang w:eastAsia="es-ES"/>
        </w:rPr>
        <w:t xml:space="preserve">ejercer funciones de comprobación, informe y certificación </w:t>
      </w:r>
      <w:r w:rsidR="001E3178" w:rsidRPr="001E3178">
        <w:rPr>
          <w:rFonts w:ascii="Times New Roman" w:eastAsia="Times New Roman" w:hAnsi="Times New Roman" w:cs="Times New Roman"/>
          <w:sz w:val="24"/>
          <w:szCs w:val="20"/>
          <w:lang w:eastAsia="es-ES"/>
        </w:rPr>
        <w:t xml:space="preserve">en los ámbitos en los que hayan de aplicarse </w:t>
      </w:r>
      <w:r>
        <w:rPr>
          <w:rFonts w:ascii="Times New Roman" w:eastAsia="Times New Roman" w:hAnsi="Times New Roman" w:cs="Times New Roman"/>
          <w:sz w:val="24"/>
          <w:szCs w:val="20"/>
          <w:lang w:eastAsia="es-ES"/>
        </w:rPr>
        <w:t>DR</w:t>
      </w:r>
      <w:r w:rsidR="001E3178" w:rsidRPr="001E3178">
        <w:rPr>
          <w:rFonts w:ascii="Times New Roman" w:eastAsia="Times New Roman" w:hAnsi="Times New Roman" w:cs="Times New Roman"/>
          <w:sz w:val="24"/>
          <w:szCs w:val="20"/>
          <w:lang w:eastAsia="es-ES"/>
        </w:rPr>
        <w:t xml:space="preserve"> o comunicación como régimen de intervención administrativa o en aquellos otros en que se establezca por norma de rango legal.</w:t>
      </w:r>
      <w:r>
        <w:rPr>
          <w:rFonts w:ascii="Times New Roman" w:eastAsia="Times New Roman" w:hAnsi="Times New Roman" w:cs="Times New Roman"/>
          <w:sz w:val="24"/>
          <w:szCs w:val="20"/>
          <w:lang w:eastAsia="es-ES"/>
        </w:rPr>
        <w:t xml:space="preserve"> Estas funciones de las ECC </w:t>
      </w:r>
      <w:r w:rsidR="001E3178" w:rsidRPr="001E3178">
        <w:rPr>
          <w:rFonts w:ascii="Times New Roman" w:eastAsia="Times New Roman" w:hAnsi="Times New Roman" w:cs="Times New Roman"/>
          <w:sz w:val="24"/>
          <w:szCs w:val="20"/>
          <w:lang w:eastAsia="es-ES"/>
        </w:rPr>
        <w:t>no sustituirán las potestades propias de la administración</w:t>
      </w:r>
      <w:r>
        <w:rPr>
          <w:rFonts w:ascii="Times New Roman" w:eastAsia="Times New Roman" w:hAnsi="Times New Roman" w:cs="Times New Roman"/>
          <w:sz w:val="24"/>
          <w:szCs w:val="20"/>
          <w:lang w:eastAsia="es-ES"/>
        </w:rPr>
        <w:t xml:space="preserve">, pudiendo </w:t>
      </w:r>
      <w:r w:rsidR="001E3178" w:rsidRPr="001E3178">
        <w:rPr>
          <w:rFonts w:ascii="Times New Roman" w:eastAsia="Times New Roman" w:hAnsi="Times New Roman" w:cs="Times New Roman"/>
          <w:sz w:val="24"/>
          <w:szCs w:val="20"/>
          <w:lang w:eastAsia="es-ES"/>
        </w:rPr>
        <w:t xml:space="preserve">verificar </w:t>
      </w:r>
      <w:r>
        <w:rPr>
          <w:rFonts w:ascii="Times New Roman" w:eastAsia="Times New Roman" w:hAnsi="Times New Roman" w:cs="Times New Roman"/>
          <w:sz w:val="24"/>
          <w:szCs w:val="20"/>
          <w:lang w:eastAsia="es-ES"/>
        </w:rPr>
        <w:t xml:space="preserve">en cualquier momento </w:t>
      </w:r>
      <w:r w:rsidR="001E3178" w:rsidRPr="001E3178">
        <w:rPr>
          <w:rFonts w:ascii="Times New Roman" w:eastAsia="Times New Roman" w:hAnsi="Times New Roman" w:cs="Times New Roman"/>
          <w:sz w:val="24"/>
          <w:szCs w:val="20"/>
          <w:lang w:eastAsia="es-ES"/>
        </w:rPr>
        <w:t>las funciones y actuaciones desarrolladas por aquellos.</w:t>
      </w:r>
    </w:p>
    <w:p w:rsidR="001E3178" w:rsidRPr="001E3178" w:rsidRDefault="00543712"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Por lo que respecta a las </w:t>
      </w:r>
      <w:r w:rsidRPr="00543712">
        <w:rPr>
          <w:rFonts w:ascii="Times New Roman" w:eastAsia="Times New Roman" w:hAnsi="Times New Roman" w:cs="Times New Roman"/>
          <w:b/>
          <w:sz w:val="24"/>
          <w:szCs w:val="20"/>
          <w:u w:val="single"/>
          <w:lang w:eastAsia="es-ES"/>
        </w:rPr>
        <w:t>modificaciones normativas</w:t>
      </w:r>
      <w:r>
        <w:rPr>
          <w:rFonts w:ascii="Times New Roman" w:eastAsia="Times New Roman" w:hAnsi="Times New Roman" w:cs="Times New Roman"/>
          <w:sz w:val="24"/>
          <w:szCs w:val="20"/>
          <w:lang w:eastAsia="es-ES"/>
        </w:rPr>
        <w:t xml:space="preserve">, la D.F. 7ª modifica artículo 35.6 del </w:t>
      </w:r>
      <w:r w:rsidR="001E3178" w:rsidRPr="001E3178">
        <w:rPr>
          <w:rFonts w:ascii="Times New Roman" w:eastAsia="Times New Roman" w:hAnsi="Times New Roman" w:cs="Times New Roman"/>
          <w:sz w:val="24"/>
          <w:szCs w:val="20"/>
          <w:lang w:eastAsia="es-ES"/>
        </w:rPr>
        <w:t xml:space="preserve">texto refundido de la </w:t>
      </w:r>
      <w:r w:rsidR="001E3178" w:rsidRPr="00543712">
        <w:rPr>
          <w:rFonts w:ascii="Times New Roman" w:eastAsia="Times New Roman" w:hAnsi="Times New Roman" w:cs="Times New Roman"/>
          <w:i/>
          <w:sz w:val="24"/>
          <w:szCs w:val="20"/>
          <w:u w:val="single"/>
          <w:lang w:eastAsia="es-ES"/>
        </w:rPr>
        <w:t>Ley de Ordenación del Territorio de Aragón, aprobado mediante Decreto Legislativo 2/2015, de 17 de noviembre, del Gobierno de Aragón</w:t>
      </w:r>
      <w:r>
        <w:rPr>
          <w:rFonts w:ascii="Times New Roman" w:eastAsia="Times New Roman" w:hAnsi="Times New Roman" w:cs="Times New Roman"/>
          <w:sz w:val="24"/>
          <w:szCs w:val="20"/>
          <w:lang w:eastAsia="es-ES"/>
        </w:rPr>
        <w:t>, con el fin de eliminar un paso intermedio en el procedimiento de aprobación de la declaración de interés general de un Plan o Proyecto de Interés General de Aragón. Con la regulación actual, una vez emitido el informe preceptivo del COTA, el</w:t>
      </w:r>
      <w:r w:rsidR="001E3178" w:rsidRPr="001E3178">
        <w:rPr>
          <w:rFonts w:ascii="Times New Roman" w:eastAsia="Times New Roman" w:hAnsi="Times New Roman" w:cs="Times New Roman"/>
          <w:sz w:val="24"/>
          <w:szCs w:val="20"/>
          <w:lang w:eastAsia="es-ES"/>
        </w:rPr>
        <w:t xml:space="preserve"> departamento competente en materia de ordenación del territorio remitirá la propuesta al Gobierno de Aragón para la declaración, en su caso, del interés general del Plan o Proyecto</w:t>
      </w:r>
      <w:r>
        <w:rPr>
          <w:rFonts w:ascii="Times New Roman" w:eastAsia="Times New Roman" w:hAnsi="Times New Roman" w:cs="Times New Roman"/>
          <w:sz w:val="24"/>
          <w:szCs w:val="20"/>
          <w:lang w:eastAsia="es-ES"/>
        </w:rPr>
        <w:t>, sin necesidad de previa remisión de la propuesta a la Comisión Delegada del Gobierno para la Política Territorial</w:t>
      </w:r>
      <w:r w:rsidR="001E3178" w:rsidRPr="001E3178">
        <w:rPr>
          <w:rFonts w:ascii="Times New Roman" w:eastAsia="Times New Roman" w:hAnsi="Times New Roman" w:cs="Times New Roman"/>
          <w:sz w:val="24"/>
          <w:szCs w:val="20"/>
          <w:lang w:eastAsia="es-ES"/>
        </w:rPr>
        <w:t>.</w:t>
      </w:r>
    </w:p>
    <w:p w:rsidR="001E3178" w:rsidRDefault="00543712"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w:t>
      </w:r>
      <w:r w:rsidR="001E3178" w:rsidRPr="001E3178">
        <w:rPr>
          <w:rFonts w:ascii="Times New Roman" w:eastAsia="Times New Roman" w:hAnsi="Times New Roman" w:cs="Times New Roman"/>
          <w:sz w:val="24"/>
          <w:szCs w:val="20"/>
          <w:lang w:eastAsia="es-ES"/>
        </w:rPr>
        <w:t>D</w:t>
      </w:r>
      <w:r>
        <w:rPr>
          <w:rFonts w:ascii="Times New Roman" w:eastAsia="Times New Roman" w:hAnsi="Times New Roman" w:cs="Times New Roman"/>
          <w:sz w:val="24"/>
          <w:szCs w:val="20"/>
          <w:lang w:eastAsia="es-ES"/>
        </w:rPr>
        <w:t xml:space="preserve">.F. 8ª modifica </w:t>
      </w:r>
      <w:r w:rsidR="001E3178" w:rsidRPr="001E3178">
        <w:rPr>
          <w:rFonts w:ascii="Times New Roman" w:eastAsia="Times New Roman" w:hAnsi="Times New Roman" w:cs="Times New Roman"/>
          <w:sz w:val="24"/>
          <w:szCs w:val="20"/>
          <w:lang w:eastAsia="es-ES"/>
        </w:rPr>
        <w:t xml:space="preserve">el texto refundido de la </w:t>
      </w:r>
      <w:r w:rsidR="001E3178" w:rsidRPr="00543712">
        <w:rPr>
          <w:rFonts w:ascii="Times New Roman" w:eastAsia="Times New Roman" w:hAnsi="Times New Roman" w:cs="Times New Roman"/>
          <w:i/>
          <w:sz w:val="24"/>
          <w:szCs w:val="20"/>
          <w:u w:val="single"/>
          <w:lang w:eastAsia="es-ES"/>
        </w:rPr>
        <w:t>Ley de Urbanismo de Aragón, aprobado por Decreto Legislativo 1/2014, de 8 de julio</w:t>
      </w:r>
      <w:r w:rsidR="001E3178" w:rsidRPr="001E3178">
        <w:rPr>
          <w:rFonts w:ascii="Times New Roman" w:eastAsia="Times New Roman" w:hAnsi="Times New Roman" w:cs="Times New Roman"/>
          <w:sz w:val="24"/>
          <w:szCs w:val="20"/>
          <w:lang w:eastAsia="es-ES"/>
        </w:rPr>
        <w:t>.</w:t>
      </w:r>
      <w:r>
        <w:rPr>
          <w:rFonts w:ascii="Times New Roman" w:eastAsia="Times New Roman" w:hAnsi="Times New Roman" w:cs="Times New Roman"/>
          <w:sz w:val="24"/>
          <w:szCs w:val="20"/>
          <w:lang w:eastAsia="es-ES"/>
        </w:rPr>
        <w:t xml:space="preserve"> Son dos las modificaciones introducidas:</w:t>
      </w:r>
    </w:p>
    <w:p w:rsidR="00543712" w:rsidRDefault="00543712" w:rsidP="00543712">
      <w:pPr>
        <w:pStyle w:val="Prrafodelista"/>
        <w:numPr>
          <w:ilvl w:val="0"/>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sidRPr="00543712">
        <w:rPr>
          <w:rFonts w:ascii="Times New Roman" w:eastAsia="Times New Roman" w:hAnsi="Times New Roman" w:cs="Times New Roman"/>
          <w:sz w:val="24"/>
          <w:szCs w:val="20"/>
          <w:lang w:eastAsia="es-ES"/>
        </w:rPr>
        <w:t xml:space="preserve">Se elimina el </w:t>
      </w:r>
      <w:r w:rsidR="001E3178" w:rsidRPr="00543712">
        <w:rPr>
          <w:rFonts w:ascii="Times New Roman" w:eastAsia="Times New Roman" w:hAnsi="Times New Roman" w:cs="Times New Roman"/>
          <w:sz w:val="24"/>
          <w:szCs w:val="20"/>
          <w:lang w:eastAsia="es-ES"/>
        </w:rPr>
        <w:t>apartado 3 del artículo 226</w:t>
      </w:r>
      <w:r>
        <w:rPr>
          <w:rFonts w:ascii="Times New Roman" w:eastAsia="Times New Roman" w:hAnsi="Times New Roman" w:cs="Times New Roman"/>
          <w:sz w:val="24"/>
          <w:szCs w:val="20"/>
          <w:lang w:eastAsia="es-ES"/>
        </w:rPr>
        <w:t xml:space="preserve">, que regula el régimen de licencia urbanística. Este apartado indicaba que “en todo caso, también puede </w:t>
      </w:r>
      <w:r>
        <w:rPr>
          <w:rFonts w:ascii="Times New Roman" w:eastAsia="Times New Roman" w:hAnsi="Times New Roman" w:cs="Times New Roman"/>
          <w:sz w:val="24"/>
          <w:szCs w:val="20"/>
          <w:lang w:eastAsia="es-ES"/>
        </w:rPr>
        <w:lastRenderedPageBreak/>
        <w:t>solicitarse voluntariamente licencia para los actos de transformación, construcción, edificación o uso del suelo o el subsuelo no enumerados en el párrafo anterior cuando así lo estimen conveniente los solicitantes por razones de seguridad jurídica o de otro tipo”, lo que significa que el sometimiento a licencia, declaración responsable o comunicación tiene motivos tasados y no es aplicable a voluntad del interesado.</w:t>
      </w:r>
    </w:p>
    <w:p w:rsidR="005A08D5" w:rsidRPr="005A08D5" w:rsidRDefault="005A08D5" w:rsidP="005A08D5">
      <w:pPr>
        <w:pStyle w:val="Prrafodelista"/>
        <w:numPr>
          <w:ilvl w:val="0"/>
          <w:numId w:val="24"/>
        </w:numPr>
        <w:tabs>
          <w:tab w:val="left" w:pos="-2268"/>
        </w:tabs>
        <w:spacing w:before="240" w:after="0" w:line="360" w:lineRule="auto"/>
        <w:jc w:val="both"/>
        <w:rPr>
          <w:rFonts w:ascii="Times New Roman" w:eastAsia="Times New Roman" w:hAnsi="Times New Roman" w:cs="Times New Roman"/>
          <w:i/>
          <w:sz w:val="24"/>
          <w:szCs w:val="20"/>
          <w:lang w:eastAsia="es-ES"/>
        </w:rPr>
      </w:pPr>
      <w:r w:rsidRPr="005A08D5">
        <w:rPr>
          <w:rFonts w:ascii="Times New Roman" w:eastAsia="Times New Roman" w:hAnsi="Times New Roman" w:cs="Times New Roman"/>
          <w:sz w:val="24"/>
          <w:szCs w:val="20"/>
          <w:lang w:eastAsia="es-ES"/>
        </w:rPr>
        <w:t>Además, se</w:t>
      </w:r>
      <w:r w:rsidR="001E3178" w:rsidRPr="005A08D5">
        <w:rPr>
          <w:rFonts w:ascii="Times New Roman" w:eastAsia="Times New Roman" w:hAnsi="Times New Roman" w:cs="Times New Roman"/>
          <w:sz w:val="24"/>
          <w:szCs w:val="20"/>
          <w:lang w:eastAsia="es-ES"/>
        </w:rPr>
        <w:t xml:space="preserve"> añaden las letras f), g) y h) al artículo 227</w:t>
      </w:r>
      <w:r w:rsidRPr="005A08D5">
        <w:rPr>
          <w:rFonts w:ascii="Times New Roman" w:eastAsia="Times New Roman" w:hAnsi="Times New Roman" w:cs="Times New Roman"/>
          <w:sz w:val="24"/>
          <w:szCs w:val="20"/>
          <w:lang w:eastAsia="es-ES"/>
        </w:rPr>
        <w:t>.2, de tal manera que también son objeto de declaración responsable los siguientes actos de transformación, construcción, edificación o uso del suelo o el subsuelo siguientes</w:t>
      </w:r>
      <w:r w:rsidR="001E3178" w:rsidRPr="005A08D5">
        <w:rPr>
          <w:rFonts w:ascii="Times New Roman" w:eastAsia="Times New Roman" w:hAnsi="Times New Roman" w:cs="Times New Roman"/>
          <w:sz w:val="24"/>
          <w:szCs w:val="20"/>
          <w:lang w:eastAsia="es-ES"/>
        </w:rPr>
        <w:t>:</w:t>
      </w:r>
      <w:r w:rsidRPr="005A08D5">
        <w:rPr>
          <w:rFonts w:ascii="Times New Roman" w:eastAsia="Times New Roman" w:hAnsi="Times New Roman" w:cs="Times New Roman"/>
          <w:sz w:val="24"/>
          <w:szCs w:val="20"/>
          <w:lang w:eastAsia="es-ES"/>
        </w:rPr>
        <w:t xml:space="preserve"> </w:t>
      </w:r>
    </w:p>
    <w:p w:rsidR="005A08D5" w:rsidRPr="005A08D5" w:rsidRDefault="001E3178" w:rsidP="005A08D5">
      <w:pPr>
        <w:pStyle w:val="Prrafodelista"/>
        <w:numPr>
          <w:ilvl w:val="1"/>
          <w:numId w:val="24"/>
        </w:numPr>
        <w:tabs>
          <w:tab w:val="left" w:pos="-2268"/>
        </w:tabs>
        <w:spacing w:before="240" w:after="0" w:line="360" w:lineRule="auto"/>
        <w:jc w:val="both"/>
        <w:rPr>
          <w:rFonts w:ascii="Times New Roman" w:eastAsia="Times New Roman" w:hAnsi="Times New Roman" w:cs="Times New Roman"/>
          <w:i/>
          <w:sz w:val="24"/>
          <w:szCs w:val="20"/>
          <w:lang w:eastAsia="es-ES"/>
        </w:rPr>
      </w:pPr>
      <w:r w:rsidRPr="005A08D5">
        <w:rPr>
          <w:rFonts w:ascii="Times New Roman" w:eastAsia="Times New Roman" w:hAnsi="Times New Roman" w:cs="Times New Roman"/>
          <w:i/>
          <w:sz w:val="24"/>
          <w:szCs w:val="20"/>
          <w:lang w:eastAsia="es-ES"/>
        </w:rPr>
        <w:t>“f) Instalaciones de aprovechamiento de energía solar mediante paneles fotovoltaicos destinadas a autoconsumo sobre cubierta y edificaciones y pérgolas de aparcamientos de vehículos</w:t>
      </w:r>
      <w:r w:rsidR="005A08D5">
        <w:rPr>
          <w:rFonts w:ascii="Times New Roman" w:eastAsia="Times New Roman" w:hAnsi="Times New Roman" w:cs="Times New Roman"/>
          <w:sz w:val="24"/>
          <w:szCs w:val="20"/>
          <w:lang w:eastAsia="es-ES"/>
        </w:rPr>
        <w:t>.</w:t>
      </w:r>
    </w:p>
    <w:p w:rsidR="001E3178" w:rsidRPr="005A08D5" w:rsidRDefault="005A08D5" w:rsidP="005A08D5">
      <w:pPr>
        <w:pStyle w:val="Prrafodelista"/>
        <w:tabs>
          <w:tab w:val="left" w:pos="-2268"/>
        </w:tabs>
        <w:spacing w:before="240" w:after="0" w:line="360" w:lineRule="auto"/>
        <w:ind w:left="214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001E3178" w:rsidRPr="005A08D5">
        <w:rPr>
          <w:rFonts w:ascii="Times New Roman" w:eastAsia="Times New Roman" w:hAnsi="Times New Roman" w:cs="Times New Roman"/>
          <w:sz w:val="24"/>
          <w:szCs w:val="20"/>
          <w:lang w:eastAsia="es-ES"/>
        </w:rPr>
        <w:t xml:space="preserve">as instalaciones no </w:t>
      </w:r>
      <w:r>
        <w:rPr>
          <w:rFonts w:ascii="Times New Roman" w:eastAsia="Times New Roman" w:hAnsi="Times New Roman" w:cs="Times New Roman"/>
          <w:sz w:val="24"/>
          <w:szCs w:val="20"/>
          <w:lang w:eastAsia="es-ES"/>
        </w:rPr>
        <w:t>podrán superar</w:t>
      </w:r>
      <w:r w:rsidR="001E3178" w:rsidRPr="005A08D5">
        <w:rPr>
          <w:rFonts w:ascii="Times New Roman" w:eastAsia="Times New Roman" w:hAnsi="Times New Roman" w:cs="Times New Roman"/>
          <w:sz w:val="24"/>
          <w:szCs w:val="20"/>
          <w:lang w:eastAsia="es-ES"/>
        </w:rPr>
        <w:t xml:space="preserve"> un metro y medio de altura desde el plano de la cubierta, o, en el caso de cubierta inclinada, cuando los paneles se coloquen pegados a la cubierta en paralelo o no superando el metro de altura, excepto en edificios protegidos por razones patrimoniales u otras que requieran informes sectoriales específicos.</w:t>
      </w:r>
    </w:p>
    <w:p w:rsidR="005A08D5" w:rsidRDefault="001E3178" w:rsidP="005A08D5">
      <w:pPr>
        <w:pStyle w:val="Prrafodelista"/>
        <w:numPr>
          <w:ilvl w:val="1"/>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sidRPr="005A08D5">
        <w:rPr>
          <w:rFonts w:ascii="Times New Roman" w:eastAsia="Times New Roman" w:hAnsi="Times New Roman" w:cs="Times New Roman"/>
          <w:i/>
          <w:sz w:val="24"/>
          <w:szCs w:val="20"/>
          <w:lang w:eastAsia="es-ES"/>
        </w:rPr>
        <w:t xml:space="preserve">g) Instalaciones de producción de energía proveniente de la energía solar sobre las pérgolas de los aparcamientos de vehículos y en los espacios libres privados no susceptibles de ocupación de las parcelas. </w:t>
      </w:r>
    </w:p>
    <w:p w:rsidR="005A08D5" w:rsidRDefault="001E3178" w:rsidP="005A08D5">
      <w:pPr>
        <w:pStyle w:val="Prrafodelista"/>
        <w:tabs>
          <w:tab w:val="left" w:pos="-2268"/>
        </w:tabs>
        <w:spacing w:before="240" w:after="0" w:line="360" w:lineRule="auto"/>
        <w:ind w:left="2149"/>
        <w:jc w:val="both"/>
        <w:rPr>
          <w:rFonts w:ascii="Times New Roman" w:eastAsia="Times New Roman" w:hAnsi="Times New Roman" w:cs="Times New Roman"/>
          <w:sz w:val="24"/>
          <w:szCs w:val="20"/>
          <w:lang w:eastAsia="es-ES"/>
        </w:rPr>
      </w:pPr>
      <w:r w:rsidRPr="005A08D5">
        <w:rPr>
          <w:rFonts w:ascii="Times New Roman" w:eastAsia="Times New Roman" w:hAnsi="Times New Roman" w:cs="Times New Roman"/>
          <w:sz w:val="24"/>
          <w:szCs w:val="20"/>
          <w:lang w:eastAsia="es-ES"/>
        </w:rPr>
        <w:t xml:space="preserve">Los espacios ocupados por </w:t>
      </w:r>
      <w:r w:rsidR="005A08D5">
        <w:rPr>
          <w:rFonts w:ascii="Times New Roman" w:eastAsia="Times New Roman" w:hAnsi="Times New Roman" w:cs="Times New Roman"/>
          <w:sz w:val="24"/>
          <w:szCs w:val="20"/>
          <w:lang w:eastAsia="es-ES"/>
        </w:rPr>
        <w:t>estas</w:t>
      </w:r>
      <w:r w:rsidRPr="005A08D5">
        <w:rPr>
          <w:rFonts w:ascii="Times New Roman" w:eastAsia="Times New Roman" w:hAnsi="Times New Roman" w:cs="Times New Roman"/>
          <w:sz w:val="24"/>
          <w:szCs w:val="20"/>
          <w:lang w:eastAsia="es-ES"/>
        </w:rPr>
        <w:t xml:space="preserve"> instalaciones no computarán a efectos del volumen edificable de la parcela ni de las distancias mínimas de la edificación a los límites de la parcela, a otras edificaciones o en la vía pública.</w:t>
      </w:r>
    </w:p>
    <w:p w:rsidR="001E3178" w:rsidRPr="005A08D5" w:rsidRDefault="001E3178" w:rsidP="005A08D5">
      <w:pPr>
        <w:pStyle w:val="Prrafodelista"/>
        <w:tabs>
          <w:tab w:val="left" w:pos="-2268"/>
        </w:tabs>
        <w:spacing w:before="240" w:after="0" w:line="360" w:lineRule="auto"/>
        <w:ind w:left="2149"/>
        <w:jc w:val="both"/>
        <w:rPr>
          <w:rFonts w:ascii="Times New Roman" w:eastAsia="Times New Roman" w:hAnsi="Times New Roman" w:cs="Times New Roman"/>
          <w:sz w:val="24"/>
          <w:szCs w:val="20"/>
          <w:lang w:eastAsia="es-ES"/>
        </w:rPr>
      </w:pPr>
      <w:r w:rsidRPr="005A08D5">
        <w:rPr>
          <w:rFonts w:ascii="Times New Roman" w:eastAsia="Times New Roman" w:hAnsi="Times New Roman" w:cs="Times New Roman"/>
          <w:sz w:val="24"/>
          <w:szCs w:val="20"/>
          <w:lang w:eastAsia="es-ES"/>
        </w:rPr>
        <w:t>Los elementos auxiliares de las instalaciones, como las estructuras de apoyo o pérgolas, serán considerados partes inherentes de las instalaciones de generación solar.</w:t>
      </w:r>
    </w:p>
    <w:p w:rsidR="001E3178" w:rsidRPr="001E3178" w:rsidRDefault="001E3178" w:rsidP="005A08D5">
      <w:pPr>
        <w:pStyle w:val="Prrafodelista"/>
        <w:numPr>
          <w:ilvl w:val="1"/>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h</w:t>
      </w:r>
      <w:r w:rsidRPr="005A08D5">
        <w:rPr>
          <w:rFonts w:ascii="Times New Roman" w:eastAsia="Times New Roman" w:hAnsi="Times New Roman" w:cs="Times New Roman"/>
          <w:i/>
          <w:sz w:val="24"/>
          <w:szCs w:val="20"/>
          <w:lang w:eastAsia="es-ES"/>
        </w:rPr>
        <w:t>) Instalación de puntos de recarga de vehículos eléctricos en edificios de uso colectivo</w:t>
      </w:r>
      <w:r w:rsidRPr="001E3178">
        <w:rPr>
          <w:rFonts w:ascii="Times New Roman" w:eastAsia="Times New Roman" w:hAnsi="Times New Roman" w:cs="Times New Roman"/>
          <w:sz w:val="24"/>
          <w:szCs w:val="20"/>
          <w:lang w:eastAsia="es-ES"/>
        </w:rPr>
        <w:t>.</w:t>
      </w:r>
    </w:p>
    <w:p w:rsidR="005A08D5" w:rsidRDefault="002131AA" w:rsidP="005A08D5">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L</w:t>
      </w:r>
      <w:r w:rsidR="005A08D5">
        <w:rPr>
          <w:rFonts w:ascii="Times New Roman" w:eastAsia="Times New Roman" w:hAnsi="Times New Roman" w:cs="Times New Roman"/>
          <w:sz w:val="24"/>
          <w:szCs w:val="20"/>
          <w:lang w:eastAsia="es-ES"/>
        </w:rPr>
        <w:t>a D. F. 9ª m</w:t>
      </w:r>
      <w:r w:rsidR="001E3178" w:rsidRPr="001E3178">
        <w:rPr>
          <w:rFonts w:ascii="Times New Roman" w:eastAsia="Times New Roman" w:hAnsi="Times New Roman" w:cs="Times New Roman"/>
          <w:sz w:val="24"/>
          <w:szCs w:val="20"/>
          <w:lang w:eastAsia="es-ES"/>
        </w:rPr>
        <w:t>odifica</w:t>
      </w:r>
      <w:r w:rsidR="005A08D5" w:rsidRPr="005A08D5">
        <w:t xml:space="preserve"> </w:t>
      </w:r>
      <w:r w:rsidR="005A08D5">
        <w:rPr>
          <w:rFonts w:ascii="Times New Roman" w:eastAsia="Times New Roman" w:hAnsi="Times New Roman" w:cs="Times New Roman"/>
          <w:sz w:val="24"/>
          <w:szCs w:val="20"/>
          <w:lang w:eastAsia="es-ES"/>
        </w:rPr>
        <w:t>e</w:t>
      </w:r>
      <w:r w:rsidR="005A08D5" w:rsidRPr="005A08D5">
        <w:rPr>
          <w:rFonts w:ascii="Times New Roman" w:eastAsia="Times New Roman" w:hAnsi="Times New Roman" w:cs="Times New Roman"/>
          <w:sz w:val="24"/>
          <w:szCs w:val="20"/>
          <w:lang w:eastAsia="es-ES"/>
        </w:rPr>
        <w:t xml:space="preserve">l último párrafo del </w:t>
      </w:r>
      <w:r w:rsidR="005A08D5">
        <w:rPr>
          <w:rFonts w:ascii="Times New Roman" w:eastAsia="Times New Roman" w:hAnsi="Times New Roman" w:cs="Times New Roman"/>
          <w:sz w:val="24"/>
          <w:szCs w:val="20"/>
          <w:lang w:eastAsia="es-ES"/>
        </w:rPr>
        <w:t>artículo 3.2</w:t>
      </w:r>
      <w:r w:rsidR="001E3178" w:rsidRPr="001E3178">
        <w:rPr>
          <w:rFonts w:ascii="Times New Roman" w:eastAsia="Times New Roman" w:hAnsi="Times New Roman" w:cs="Times New Roman"/>
          <w:sz w:val="24"/>
          <w:szCs w:val="20"/>
          <w:lang w:eastAsia="es-ES"/>
        </w:rPr>
        <w:t xml:space="preserve"> la </w:t>
      </w:r>
      <w:r w:rsidR="001E3178" w:rsidRPr="002131AA">
        <w:rPr>
          <w:rFonts w:ascii="Times New Roman" w:eastAsia="Times New Roman" w:hAnsi="Times New Roman" w:cs="Times New Roman"/>
          <w:i/>
          <w:sz w:val="24"/>
          <w:szCs w:val="20"/>
          <w:u w:val="single"/>
          <w:lang w:eastAsia="es-ES"/>
        </w:rPr>
        <w:t>Ley 24/2003, de 26 de diciembre, de medidas urgentes de política de vivienda protegida</w:t>
      </w:r>
      <w:r w:rsidR="001E3178" w:rsidRPr="001E3178">
        <w:rPr>
          <w:rFonts w:ascii="Times New Roman" w:eastAsia="Times New Roman" w:hAnsi="Times New Roman" w:cs="Times New Roman"/>
          <w:sz w:val="24"/>
          <w:szCs w:val="20"/>
          <w:lang w:eastAsia="es-ES"/>
        </w:rPr>
        <w:t>.</w:t>
      </w:r>
      <w:r>
        <w:rPr>
          <w:rFonts w:ascii="Times New Roman" w:eastAsia="Times New Roman" w:hAnsi="Times New Roman" w:cs="Times New Roman"/>
          <w:sz w:val="24"/>
          <w:szCs w:val="20"/>
          <w:lang w:eastAsia="es-ES"/>
        </w:rPr>
        <w:t xml:space="preserve"> </w:t>
      </w:r>
      <w:r w:rsidR="005A08D5">
        <w:rPr>
          <w:rFonts w:ascii="Times New Roman" w:eastAsia="Times New Roman" w:hAnsi="Times New Roman" w:cs="Times New Roman"/>
          <w:sz w:val="24"/>
          <w:szCs w:val="20"/>
          <w:lang w:eastAsia="es-ES"/>
        </w:rPr>
        <w:t>Este artículo establece me</w:t>
      </w:r>
      <w:r w:rsidR="005A08D5" w:rsidRPr="005A08D5">
        <w:rPr>
          <w:rFonts w:ascii="Times New Roman" w:eastAsia="Times New Roman" w:hAnsi="Times New Roman" w:cs="Times New Roman"/>
          <w:sz w:val="24"/>
          <w:szCs w:val="20"/>
          <w:lang w:eastAsia="es-ES"/>
        </w:rPr>
        <w:t>didas sobre los terrenos integrantes de los patrimonios públicos de suelo</w:t>
      </w:r>
      <w:r w:rsidR="005A08D5">
        <w:rPr>
          <w:rFonts w:ascii="Times New Roman" w:eastAsia="Times New Roman" w:hAnsi="Times New Roman" w:cs="Times New Roman"/>
          <w:sz w:val="24"/>
          <w:szCs w:val="20"/>
          <w:lang w:eastAsia="es-ES"/>
        </w:rPr>
        <w:t xml:space="preserve">, en concreto, sobre la enajenación de estos terrenos o la constitución de derechos de superficie sobre el mismo para </w:t>
      </w:r>
      <w:r w:rsidR="005A08D5" w:rsidRPr="005A08D5">
        <w:rPr>
          <w:rFonts w:ascii="Times New Roman" w:eastAsia="Times New Roman" w:hAnsi="Times New Roman" w:cs="Times New Roman"/>
          <w:sz w:val="24"/>
          <w:szCs w:val="20"/>
          <w:lang w:eastAsia="es-ES"/>
        </w:rPr>
        <w:t>la construcción de viviendas protegidas</w:t>
      </w:r>
      <w:r w:rsidR="005A08D5">
        <w:rPr>
          <w:rFonts w:ascii="Times New Roman" w:eastAsia="Times New Roman" w:hAnsi="Times New Roman" w:cs="Times New Roman"/>
          <w:sz w:val="24"/>
          <w:szCs w:val="20"/>
          <w:lang w:eastAsia="es-ES"/>
        </w:rPr>
        <w:t>. Prevé el contenido mínimo de los</w:t>
      </w:r>
      <w:r w:rsidR="005A08D5" w:rsidRPr="005A08D5">
        <w:rPr>
          <w:rFonts w:ascii="Times New Roman" w:eastAsia="Times New Roman" w:hAnsi="Times New Roman" w:cs="Times New Roman"/>
          <w:sz w:val="24"/>
          <w:szCs w:val="20"/>
          <w:lang w:eastAsia="es-ES"/>
        </w:rPr>
        <w:t xml:space="preserve"> pliego</w:t>
      </w:r>
      <w:r w:rsidR="005A08D5">
        <w:rPr>
          <w:rFonts w:ascii="Times New Roman" w:eastAsia="Times New Roman" w:hAnsi="Times New Roman" w:cs="Times New Roman"/>
          <w:sz w:val="24"/>
          <w:szCs w:val="20"/>
          <w:lang w:eastAsia="es-ES"/>
        </w:rPr>
        <w:t>s</w:t>
      </w:r>
      <w:r w:rsidR="005A08D5" w:rsidRPr="005A08D5">
        <w:rPr>
          <w:rFonts w:ascii="Times New Roman" w:eastAsia="Times New Roman" w:hAnsi="Times New Roman" w:cs="Times New Roman"/>
          <w:sz w:val="24"/>
          <w:szCs w:val="20"/>
          <w:lang w:eastAsia="es-ES"/>
        </w:rPr>
        <w:t xml:space="preserve"> de condiciones </w:t>
      </w:r>
      <w:r w:rsidR="005A08D5">
        <w:rPr>
          <w:rFonts w:ascii="Times New Roman" w:eastAsia="Times New Roman" w:hAnsi="Times New Roman" w:cs="Times New Roman"/>
          <w:sz w:val="24"/>
          <w:szCs w:val="20"/>
          <w:lang w:eastAsia="es-ES"/>
        </w:rPr>
        <w:t>de ese concurso.</w:t>
      </w:r>
      <w:r>
        <w:rPr>
          <w:rFonts w:ascii="Times New Roman" w:eastAsia="Times New Roman" w:hAnsi="Times New Roman" w:cs="Times New Roman"/>
          <w:sz w:val="24"/>
          <w:szCs w:val="20"/>
          <w:lang w:eastAsia="es-ES"/>
        </w:rPr>
        <w:t xml:space="preserve"> </w:t>
      </w:r>
      <w:r w:rsidR="005A08D5">
        <w:rPr>
          <w:rFonts w:ascii="Times New Roman" w:eastAsia="Times New Roman" w:hAnsi="Times New Roman" w:cs="Times New Roman"/>
          <w:sz w:val="24"/>
          <w:szCs w:val="20"/>
          <w:lang w:eastAsia="es-ES"/>
        </w:rPr>
        <w:t xml:space="preserve">El apartado segundo del artículo 3 permitía que, </w:t>
      </w:r>
      <w:r>
        <w:rPr>
          <w:rFonts w:ascii="Times New Roman" w:eastAsia="Times New Roman" w:hAnsi="Times New Roman" w:cs="Times New Roman"/>
          <w:sz w:val="24"/>
          <w:szCs w:val="20"/>
          <w:lang w:eastAsia="es-ES"/>
        </w:rPr>
        <w:t xml:space="preserve">en caso de que </w:t>
      </w:r>
      <w:r w:rsidR="005A08D5" w:rsidRPr="005A08D5">
        <w:rPr>
          <w:rFonts w:ascii="Times New Roman" w:eastAsia="Times New Roman" w:hAnsi="Times New Roman" w:cs="Times New Roman"/>
          <w:sz w:val="24"/>
          <w:szCs w:val="20"/>
          <w:lang w:eastAsia="es-ES"/>
        </w:rPr>
        <w:t>el concurso quedar</w:t>
      </w:r>
      <w:r>
        <w:rPr>
          <w:rFonts w:ascii="Times New Roman" w:eastAsia="Times New Roman" w:hAnsi="Times New Roman" w:cs="Times New Roman"/>
          <w:sz w:val="24"/>
          <w:szCs w:val="20"/>
          <w:lang w:eastAsia="es-ES"/>
        </w:rPr>
        <w:t>a</w:t>
      </w:r>
      <w:r w:rsidR="005A08D5" w:rsidRPr="005A08D5">
        <w:rPr>
          <w:rFonts w:ascii="Times New Roman" w:eastAsia="Times New Roman" w:hAnsi="Times New Roman" w:cs="Times New Roman"/>
          <w:sz w:val="24"/>
          <w:szCs w:val="20"/>
          <w:lang w:eastAsia="es-ES"/>
        </w:rPr>
        <w:t xml:space="preserve"> desierto, la Administración </w:t>
      </w:r>
      <w:r>
        <w:rPr>
          <w:rFonts w:ascii="Times New Roman" w:eastAsia="Times New Roman" w:hAnsi="Times New Roman" w:cs="Times New Roman"/>
          <w:sz w:val="24"/>
          <w:szCs w:val="20"/>
          <w:lang w:eastAsia="es-ES"/>
        </w:rPr>
        <w:t>podía</w:t>
      </w:r>
      <w:r w:rsidR="005A08D5" w:rsidRPr="005A08D5">
        <w:rPr>
          <w:rFonts w:ascii="Times New Roman" w:eastAsia="Times New Roman" w:hAnsi="Times New Roman" w:cs="Times New Roman"/>
          <w:sz w:val="24"/>
          <w:szCs w:val="20"/>
          <w:lang w:eastAsia="es-ES"/>
        </w:rPr>
        <w:t xml:space="preserve"> enajenar directamente</w:t>
      </w:r>
      <w:r>
        <w:rPr>
          <w:rFonts w:ascii="Times New Roman" w:eastAsia="Times New Roman" w:hAnsi="Times New Roman" w:cs="Times New Roman"/>
          <w:sz w:val="24"/>
          <w:szCs w:val="20"/>
          <w:lang w:eastAsia="es-ES"/>
        </w:rPr>
        <w:t xml:space="preserve"> los terrenos</w:t>
      </w:r>
      <w:r w:rsidR="005A08D5" w:rsidRPr="005A08D5">
        <w:rPr>
          <w:rFonts w:ascii="Times New Roman" w:eastAsia="Times New Roman" w:hAnsi="Times New Roman" w:cs="Times New Roman"/>
          <w:sz w:val="24"/>
          <w:szCs w:val="20"/>
          <w:lang w:eastAsia="es-ES"/>
        </w:rPr>
        <w:t>, dentro del plazo máximo de un año, con arreglo al pliego de condiciones que rigió el concurso.</w:t>
      </w:r>
      <w:r>
        <w:rPr>
          <w:rFonts w:ascii="Times New Roman" w:eastAsia="Times New Roman" w:hAnsi="Times New Roman" w:cs="Times New Roman"/>
          <w:sz w:val="24"/>
          <w:szCs w:val="20"/>
          <w:lang w:eastAsia="es-ES"/>
        </w:rPr>
        <w:t xml:space="preserve"> La modificación, reduce este plazo de un año a tres meses.</w:t>
      </w:r>
    </w:p>
    <w:p w:rsidR="001E3178" w:rsidRPr="001E3178" w:rsidRDefault="002131AA" w:rsidP="002131A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Por último, en la D.F. 11ª, que modifica</w:t>
      </w:r>
      <w:r w:rsidR="001E3178" w:rsidRPr="001E3178">
        <w:rPr>
          <w:rFonts w:ascii="Times New Roman" w:eastAsia="Times New Roman" w:hAnsi="Times New Roman" w:cs="Times New Roman"/>
          <w:sz w:val="24"/>
          <w:szCs w:val="20"/>
          <w:lang w:eastAsia="es-ES"/>
        </w:rPr>
        <w:t xml:space="preserve"> la </w:t>
      </w:r>
      <w:r w:rsidR="001E3178" w:rsidRPr="002131AA">
        <w:rPr>
          <w:rFonts w:ascii="Times New Roman" w:eastAsia="Times New Roman" w:hAnsi="Times New Roman" w:cs="Times New Roman"/>
          <w:i/>
          <w:sz w:val="24"/>
          <w:szCs w:val="20"/>
          <w:u w:val="single"/>
          <w:lang w:eastAsia="es-ES"/>
        </w:rPr>
        <w:t>Ley 10/2013, de 19 de diciembre, del Instituto Aragonés de Gestión Ambiental</w:t>
      </w:r>
      <w:r>
        <w:rPr>
          <w:rFonts w:ascii="Times New Roman" w:eastAsia="Times New Roman" w:hAnsi="Times New Roman" w:cs="Times New Roman"/>
          <w:sz w:val="24"/>
          <w:szCs w:val="20"/>
          <w:lang w:eastAsia="es-ES"/>
        </w:rPr>
        <w:t xml:space="preserve"> prevé que todos</w:t>
      </w:r>
      <w:r w:rsidR="001E3178" w:rsidRPr="001E3178">
        <w:rPr>
          <w:rFonts w:ascii="Times New Roman" w:eastAsia="Times New Roman" w:hAnsi="Times New Roman" w:cs="Times New Roman"/>
          <w:sz w:val="24"/>
          <w:szCs w:val="20"/>
          <w:lang w:eastAsia="es-ES"/>
        </w:rPr>
        <w:t xml:space="preserve"> los órganos de la Administración autonómica que, a requerimiento del I</w:t>
      </w:r>
      <w:r>
        <w:rPr>
          <w:rFonts w:ascii="Times New Roman" w:eastAsia="Times New Roman" w:hAnsi="Times New Roman" w:cs="Times New Roman"/>
          <w:sz w:val="24"/>
          <w:szCs w:val="20"/>
          <w:lang w:eastAsia="es-ES"/>
        </w:rPr>
        <w:t>NAGA</w:t>
      </w:r>
      <w:r w:rsidR="001E3178" w:rsidRPr="001E3178">
        <w:rPr>
          <w:rFonts w:ascii="Times New Roman" w:eastAsia="Times New Roman" w:hAnsi="Times New Roman" w:cs="Times New Roman"/>
          <w:sz w:val="24"/>
          <w:szCs w:val="20"/>
          <w:lang w:eastAsia="es-ES"/>
        </w:rPr>
        <w:t xml:space="preserve">, intervengan o participen en los procedimientos administrativos relacionados en el anexo de la ley con la emisión de informes basados en información georreferenciada (cartografía) deberán mantener permanentemente actualizado el conjunto de datos cartográficos que se encuentren registrados en el Registro de Cartografía de Aragón. </w:t>
      </w:r>
    </w:p>
    <w:p w:rsidR="002131AA" w:rsidRDefault="002131AA" w:rsidP="001E3178">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Adicionalmente, la Ley de simplificación administrativa prevé </w:t>
      </w:r>
      <w:r w:rsidRPr="002131AA">
        <w:rPr>
          <w:rFonts w:ascii="Times New Roman" w:eastAsia="Times New Roman" w:hAnsi="Times New Roman" w:cs="Times New Roman"/>
          <w:b/>
          <w:sz w:val="24"/>
          <w:szCs w:val="20"/>
          <w:u w:val="single"/>
          <w:lang w:eastAsia="es-ES"/>
        </w:rPr>
        <w:t>otras medidas</w:t>
      </w:r>
      <w:r>
        <w:rPr>
          <w:rFonts w:ascii="Times New Roman" w:eastAsia="Times New Roman" w:hAnsi="Times New Roman" w:cs="Times New Roman"/>
          <w:sz w:val="24"/>
          <w:szCs w:val="20"/>
          <w:lang w:eastAsia="es-ES"/>
        </w:rPr>
        <w:t>, tales como:</w:t>
      </w:r>
    </w:p>
    <w:p w:rsidR="001E3178" w:rsidRPr="002131AA" w:rsidRDefault="002131AA" w:rsidP="00E167C3">
      <w:pPr>
        <w:pStyle w:val="Prrafodelista"/>
        <w:numPr>
          <w:ilvl w:val="0"/>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2131AA">
        <w:rPr>
          <w:rFonts w:ascii="Times New Roman" w:eastAsia="Times New Roman" w:hAnsi="Times New Roman" w:cs="Times New Roman"/>
          <w:sz w:val="24"/>
          <w:szCs w:val="20"/>
          <w:lang w:eastAsia="es-ES"/>
        </w:rPr>
        <w:t xml:space="preserve">La </w:t>
      </w:r>
      <w:r w:rsidRPr="002131AA">
        <w:rPr>
          <w:rFonts w:ascii="Times New Roman" w:eastAsia="Times New Roman" w:hAnsi="Times New Roman" w:cs="Times New Roman"/>
          <w:i/>
          <w:sz w:val="24"/>
          <w:szCs w:val="20"/>
          <w:u w:val="single"/>
          <w:lang w:eastAsia="es-ES"/>
        </w:rPr>
        <w:t>adaptación de régimen de intervención, procedimientos y plazos de silencio e informe</w:t>
      </w:r>
      <w:r w:rsidRPr="002131AA">
        <w:rPr>
          <w:rFonts w:ascii="Times New Roman" w:eastAsia="Times New Roman" w:hAnsi="Times New Roman" w:cs="Times New Roman"/>
          <w:sz w:val="24"/>
          <w:szCs w:val="20"/>
          <w:lang w:eastAsia="es-ES"/>
        </w:rPr>
        <w:t xml:space="preserve"> (D. F. 16ª), en el </w:t>
      </w:r>
      <w:r w:rsidR="001E3178" w:rsidRPr="002131AA">
        <w:rPr>
          <w:rFonts w:ascii="Times New Roman" w:eastAsia="Times New Roman" w:hAnsi="Times New Roman" w:cs="Times New Roman"/>
          <w:sz w:val="24"/>
          <w:szCs w:val="20"/>
          <w:lang w:eastAsia="es-ES"/>
        </w:rPr>
        <w:t xml:space="preserve">plazo de seis meses contados desde la entrada en vigor de esta ley, </w:t>
      </w:r>
      <w:r>
        <w:rPr>
          <w:rFonts w:ascii="Times New Roman" w:eastAsia="Times New Roman" w:hAnsi="Times New Roman" w:cs="Times New Roman"/>
          <w:sz w:val="24"/>
          <w:szCs w:val="20"/>
          <w:lang w:eastAsia="es-ES"/>
        </w:rPr>
        <w:t>mediante la tramitación de</w:t>
      </w:r>
      <w:r w:rsidR="001E3178" w:rsidRPr="002131AA">
        <w:rPr>
          <w:rFonts w:ascii="Times New Roman" w:eastAsia="Times New Roman" w:hAnsi="Times New Roman" w:cs="Times New Roman"/>
          <w:sz w:val="24"/>
          <w:szCs w:val="20"/>
          <w:lang w:eastAsia="es-ES"/>
        </w:rPr>
        <w:t xml:space="preserve"> un proyecto de ley de aplicación de la Ley de simplificación administrativa, que se atendrá estrictamente a los criterios establecidos en ella, con </w:t>
      </w:r>
      <w:r>
        <w:rPr>
          <w:rFonts w:ascii="Times New Roman" w:eastAsia="Times New Roman" w:hAnsi="Times New Roman" w:cs="Times New Roman"/>
          <w:sz w:val="24"/>
          <w:szCs w:val="20"/>
          <w:lang w:eastAsia="es-ES"/>
        </w:rPr>
        <w:t>el contenido siguiente</w:t>
      </w:r>
      <w:r w:rsidR="001E3178" w:rsidRPr="002131AA">
        <w:rPr>
          <w:rFonts w:ascii="Times New Roman" w:eastAsia="Times New Roman" w:hAnsi="Times New Roman" w:cs="Times New Roman"/>
          <w:sz w:val="24"/>
          <w:szCs w:val="20"/>
          <w:lang w:eastAsia="es-ES"/>
        </w:rPr>
        <w:t>:</w:t>
      </w:r>
    </w:p>
    <w:p w:rsidR="001E3178" w:rsidRPr="001E3178" w:rsidRDefault="001E3178" w:rsidP="002131AA">
      <w:pPr>
        <w:pStyle w:val="Prrafodelista"/>
        <w:numPr>
          <w:ilvl w:val="1"/>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Reformas legales necesarias para la sustitución de autorizaciones o licencias previas por declaraciones responsables o comunicaciones.</w:t>
      </w:r>
    </w:p>
    <w:p w:rsidR="001E3178" w:rsidRPr="001E3178" w:rsidRDefault="001E3178" w:rsidP="002131AA">
      <w:pPr>
        <w:pStyle w:val="Prrafodelista"/>
        <w:numPr>
          <w:ilvl w:val="1"/>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Reformas legales necesarias para la sustitución del silencio negativo por silencio positivo.</w:t>
      </w:r>
    </w:p>
    <w:p w:rsidR="001E3178" w:rsidRPr="001E3178" w:rsidRDefault="001E3178" w:rsidP="002131AA">
      <w:pPr>
        <w:pStyle w:val="Prrafodelista"/>
        <w:numPr>
          <w:ilvl w:val="1"/>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Reformas legales necesarias para la revisión de los plazos de silencio administrativo.</w:t>
      </w:r>
    </w:p>
    <w:p w:rsidR="001E3178" w:rsidRPr="001E3178" w:rsidRDefault="001E3178" w:rsidP="002131AA">
      <w:pPr>
        <w:pStyle w:val="Prrafodelista"/>
        <w:numPr>
          <w:ilvl w:val="1"/>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t>Reformas legales necesarias para la revisión de los plazos de emisión de informes y dictámenes.</w:t>
      </w:r>
    </w:p>
    <w:p w:rsidR="001E3178" w:rsidRPr="001E3178" w:rsidRDefault="001E3178" w:rsidP="002131AA">
      <w:pPr>
        <w:pStyle w:val="Prrafodelista"/>
        <w:numPr>
          <w:ilvl w:val="1"/>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sidRPr="001E3178">
        <w:rPr>
          <w:rFonts w:ascii="Times New Roman" w:eastAsia="Times New Roman" w:hAnsi="Times New Roman" w:cs="Times New Roman"/>
          <w:sz w:val="24"/>
          <w:szCs w:val="20"/>
          <w:lang w:eastAsia="es-ES"/>
        </w:rPr>
        <w:lastRenderedPageBreak/>
        <w:t>Procedimientos en los que la aportación inicial de documentación por los solicitantes se sustituye por declaración responsable, indicando el momento en que habrá de aportarse la documentación, y reformas legales necesarias para ello.</w:t>
      </w:r>
    </w:p>
    <w:p w:rsidR="001E3178" w:rsidRDefault="002131AA" w:rsidP="002131AA">
      <w:pPr>
        <w:pStyle w:val="Prrafodelista"/>
        <w:numPr>
          <w:ilvl w:val="0"/>
          <w:numId w:val="25"/>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Además, el apartado 2.e) de la D. F. 17ª de la Ley de simplificación dispone la necesidad de aprobar en el plazo de un año desde su entrada en vigor, entre otros, un </w:t>
      </w:r>
      <w:r w:rsidRPr="002131AA">
        <w:rPr>
          <w:rFonts w:ascii="Times New Roman" w:eastAsia="Times New Roman" w:hAnsi="Times New Roman" w:cs="Times New Roman"/>
          <w:i/>
          <w:sz w:val="24"/>
          <w:szCs w:val="20"/>
          <w:u w:val="single"/>
          <w:lang w:eastAsia="es-ES"/>
        </w:rPr>
        <w:t>texto refundido de</w:t>
      </w:r>
      <w:r w:rsidR="001E3178" w:rsidRPr="002131AA">
        <w:rPr>
          <w:rFonts w:ascii="Times New Roman" w:eastAsia="Times New Roman" w:hAnsi="Times New Roman" w:cs="Times New Roman"/>
          <w:i/>
          <w:sz w:val="24"/>
          <w:szCs w:val="20"/>
          <w:u w:val="single"/>
          <w:lang w:eastAsia="es-ES"/>
        </w:rPr>
        <w:t xml:space="preserve"> la Ley 11/2005, de 28 de diciembre, reguladora de los espectáculos públicos, actividades recreativas y establecimientos públicos de la Comunidad Autónoma de Aragón,</w:t>
      </w:r>
      <w:r w:rsidR="001E3178" w:rsidRPr="001E3178">
        <w:rPr>
          <w:rFonts w:ascii="Times New Roman" w:eastAsia="Times New Roman" w:hAnsi="Times New Roman" w:cs="Times New Roman"/>
          <w:sz w:val="24"/>
          <w:szCs w:val="20"/>
          <w:lang w:eastAsia="es-ES"/>
        </w:rPr>
        <w:t xml:space="preserve"> con el Decreto-ley 1/2010, de 27 de abril, del Gobierno de Aragón, de modificación de diversas leyes de la Comunidad Autónoma de Aragón para la transposición de la Directiva 2006/123/CE del Parlamento Europeo y del Consejo, de 12 de diciembre de 2006, relativa a los servicios en el mercado interior, la Ley 2/2014, de 23 de enero, de Medidas Fiscales y Administrativas de la Comunidad Autónoma de Aragón, la Ley 7/2011, de 10 de marzo, de modificación de la Ley 11/2005, de 28 de diciembre, reguladora de los espectáculos públicos, actividades recreativas y establecimientos públicos de la Comunidad Autónoma de Aragón, la Ley 3/2012, de 8 de marzo, de Medidas Fiscales y Administrativas de la Comunidad Autónoma de Aragón y la Ley 5/2016, de 2 de junio, de modificación de la Leyes 12/2001, de 2 de julio, de Infancia y Adolescencia de Aragón, y 11/2005, de 28 de diciembre, reguladora de los espectáculos públicos, actividades recreativas y establecimientos públicos de la Comunidad Autónoma de Aragón, o cualesquiera otras normas de rango legal que la hayan modificado.</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u w:val="single"/>
          <w:lang w:eastAsia="es-ES"/>
        </w:rPr>
      </w:pPr>
      <w:r w:rsidRPr="00622642">
        <w:rPr>
          <w:rFonts w:ascii="Times New Roman" w:eastAsia="Times New Roman" w:hAnsi="Times New Roman" w:cs="Times New Roman"/>
          <w:b/>
          <w:sz w:val="24"/>
          <w:szCs w:val="20"/>
          <w:u w:val="single"/>
          <w:lang w:eastAsia="es-ES"/>
        </w:rPr>
        <w:t>OTRAS COMUNIDADES AUTÓNOMAS:</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032AB9">
        <w:rPr>
          <w:rFonts w:ascii="Times New Roman" w:eastAsia="Times New Roman" w:hAnsi="Times New Roman" w:cs="Times New Roman"/>
          <w:b/>
          <w:sz w:val="24"/>
          <w:szCs w:val="20"/>
          <w:lang w:eastAsia="es-ES"/>
        </w:rPr>
        <w:t>G) LA RIOJA</w:t>
      </w:r>
    </w:p>
    <w:p w:rsidR="00622642" w:rsidRPr="00622642" w:rsidRDefault="00032AB9" w:rsidP="00032AB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032AB9">
        <w:rPr>
          <w:rFonts w:ascii="Times New Roman" w:eastAsia="Times New Roman" w:hAnsi="Times New Roman" w:cs="Times New Roman"/>
          <w:sz w:val="24"/>
          <w:szCs w:val="20"/>
          <w:lang w:eastAsia="es-ES"/>
        </w:rPr>
        <w:t xml:space="preserve">- </w:t>
      </w:r>
      <w:r w:rsidRPr="00032AB9">
        <w:rPr>
          <w:rFonts w:ascii="Times New Roman" w:eastAsia="Times New Roman" w:hAnsi="Times New Roman" w:cs="Times New Roman"/>
          <w:b/>
          <w:sz w:val="24"/>
          <w:szCs w:val="20"/>
          <w:u w:val="single"/>
          <w:lang w:eastAsia="es-ES"/>
        </w:rPr>
        <w:t>Ley 2/2021, de 29 de enero, de medidas fiscales y administrativas para el año 2021.</w:t>
      </w:r>
      <w:r w:rsidRPr="00032AB9">
        <w:rPr>
          <w:rFonts w:ascii="Times New Roman" w:eastAsia="Times New Roman" w:hAnsi="Times New Roman" w:cs="Times New Roman"/>
          <w:sz w:val="24"/>
          <w:szCs w:val="20"/>
          <w:lang w:eastAsia="es-ES"/>
        </w:rPr>
        <w:t xml:space="preserve"> (BOR núm. 22, de 1 de febrero</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art. 14 de la ley introduce, como med</w:t>
      </w:r>
      <w:r w:rsidRPr="00032AB9">
        <w:rPr>
          <w:rFonts w:ascii="Times New Roman" w:eastAsia="Times New Roman" w:hAnsi="Times New Roman" w:cs="Times New Roman"/>
          <w:sz w:val="24"/>
          <w:szCs w:val="20"/>
          <w:lang w:eastAsia="es-ES"/>
        </w:rPr>
        <w:t>idas administrativas en materia de ordenación del territorio</w:t>
      </w:r>
      <w:r>
        <w:rPr>
          <w:rFonts w:ascii="Times New Roman" w:eastAsia="Times New Roman" w:hAnsi="Times New Roman" w:cs="Times New Roman"/>
          <w:sz w:val="24"/>
          <w:szCs w:val="20"/>
          <w:lang w:eastAsia="es-ES"/>
        </w:rPr>
        <w:t xml:space="preserve">, una nueva redacción de la D. T. 1ª de la </w:t>
      </w:r>
      <w:r w:rsidRPr="00032AB9">
        <w:rPr>
          <w:rFonts w:ascii="Times New Roman" w:eastAsia="Times New Roman" w:hAnsi="Times New Roman" w:cs="Times New Roman"/>
          <w:sz w:val="24"/>
          <w:szCs w:val="20"/>
          <w:lang w:eastAsia="es-ES"/>
        </w:rPr>
        <w:t xml:space="preserve">Ley 5/2006, de 2 de </w:t>
      </w:r>
      <w:r w:rsidRPr="00032AB9">
        <w:rPr>
          <w:rFonts w:ascii="Times New Roman" w:eastAsia="Times New Roman" w:hAnsi="Times New Roman" w:cs="Times New Roman"/>
          <w:sz w:val="24"/>
          <w:szCs w:val="20"/>
          <w:lang w:eastAsia="es-ES"/>
        </w:rPr>
        <w:lastRenderedPageBreak/>
        <w:t>mayo, de Ordenación del Territorio y Urbanismo de La Rioja</w:t>
      </w:r>
      <w:r>
        <w:rPr>
          <w:rFonts w:ascii="Times New Roman" w:eastAsia="Times New Roman" w:hAnsi="Times New Roman" w:cs="Times New Roman"/>
          <w:sz w:val="24"/>
          <w:szCs w:val="20"/>
          <w:lang w:eastAsia="es-ES"/>
        </w:rPr>
        <w:t>, relativa a la ad</w:t>
      </w:r>
      <w:r w:rsidRPr="00032AB9">
        <w:rPr>
          <w:rFonts w:ascii="Times New Roman" w:eastAsia="Times New Roman" w:hAnsi="Times New Roman" w:cs="Times New Roman"/>
          <w:sz w:val="24"/>
          <w:szCs w:val="20"/>
          <w:lang w:eastAsia="es-ES"/>
        </w:rPr>
        <w:t>aptación del planeamiento urbanístico vigente</w:t>
      </w:r>
      <w:r>
        <w:rPr>
          <w:rFonts w:ascii="Times New Roman" w:eastAsia="Times New Roman" w:hAnsi="Times New Roman" w:cs="Times New Roman"/>
          <w:sz w:val="24"/>
          <w:szCs w:val="20"/>
          <w:lang w:eastAsia="es-ES"/>
        </w:rPr>
        <w:t xml:space="preserve"> y dice</w:t>
      </w:r>
      <w:r w:rsidR="00C6488D">
        <w:rPr>
          <w:rFonts w:ascii="Times New Roman" w:eastAsia="Times New Roman" w:hAnsi="Times New Roman" w:cs="Times New Roman"/>
          <w:sz w:val="24"/>
          <w:szCs w:val="20"/>
          <w:lang w:eastAsia="es-ES"/>
        </w:rPr>
        <w:t xml:space="preserve"> textualmente</w:t>
      </w:r>
      <w:r>
        <w:rPr>
          <w:rFonts w:ascii="Times New Roman" w:eastAsia="Times New Roman" w:hAnsi="Times New Roman" w:cs="Times New Roman"/>
          <w:sz w:val="24"/>
          <w:szCs w:val="20"/>
          <w:lang w:eastAsia="es-ES"/>
        </w:rPr>
        <w:t>:</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“1</w:t>
      </w:r>
      <w:r w:rsidRPr="00032AB9">
        <w:rPr>
          <w:rFonts w:ascii="Times New Roman" w:eastAsia="Times New Roman" w:hAnsi="Times New Roman" w:cs="Times New Roman"/>
          <w:i/>
          <w:sz w:val="24"/>
          <w:szCs w:val="20"/>
          <w:lang w:eastAsia="es-ES"/>
        </w:rPr>
        <w:t>. Los municipios que a la entrada en vigor de la presente ley se hubiesen adaptado ya a las determinaciones de la Ley 10/1998, de 2 de julio, deberán adaptarse a la nueva ley antes de finalizar 2025.</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032AB9">
        <w:rPr>
          <w:rFonts w:ascii="Times New Roman" w:eastAsia="Times New Roman" w:hAnsi="Times New Roman" w:cs="Times New Roman"/>
          <w:i/>
          <w:sz w:val="24"/>
          <w:szCs w:val="20"/>
          <w:lang w:eastAsia="es-ES"/>
        </w:rPr>
        <w:t>2. Los municipios que a la entrada en vigor de la presente ley no hubiesen adaptado sus previsiones a la Ley 10/1998, de 2 de julio, deberán adaptarse a la actual antes de finalizar 2025.</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032AB9">
        <w:rPr>
          <w:rFonts w:ascii="Times New Roman" w:eastAsia="Times New Roman" w:hAnsi="Times New Roman" w:cs="Times New Roman"/>
          <w:i/>
          <w:sz w:val="24"/>
          <w:szCs w:val="20"/>
          <w:lang w:eastAsia="es-ES"/>
        </w:rPr>
        <w:t>3. En tanto no se proceda a su adaptación, se aplicarán las determinaciones del planeamiento vigente que no sean contrarias a esta ley.</w:t>
      </w:r>
    </w:p>
    <w:p w:rsidR="00032AB9" w:rsidRPr="00032AB9" w:rsidRDefault="00032AB9" w:rsidP="00032AB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032AB9">
        <w:rPr>
          <w:rFonts w:ascii="Times New Roman" w:eastAsia="Times New Roman" w:hAnsi="Times New Roman" w:cs="Times New Roman"/>
          <w:i/>
          <w:sz w:val="24"/>
          <w:szCs w:val="20"/>
          <w:lang w:eastAsia="es-ES"/>
        </w:rPr>
        <w:t>4.Cuando existan circunstancias que así lo aconsejen, el consejero competente en materia de urbanismo podrá ordenar anticipadamente la adaptación del planeamiento a lo dispuesto en esta ley</w:t>
      </w:r>
      <w:r w:rsidRPr="00032AB9">
        <w:rPr>
          <w:rFonts w:ascii="Times New Roman" w:eastAsia="Times New Roman" w:hAnsi="Times New Roman" w:cs="Times New Roman"/>
          <w:sz w:val="24"/>
          <w:szCs w:val="20"/>
          <w:lang w:eastAsia="es-ES"/>
        </w:rPr>
        <w:t>.</w:t>
      </w:r>
    </w:p>
    <w:p w:rsidR="00032AB9" w:rsidRPr="00C6488D" w:rsidRDefault="00032AB9" w:rsidP="00032AB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C6488D">
        <w:rPr>
          <w:rFonts w:ascii="Times New Roman" w:eastAsia="Times New Roman" w:hAnsi="Times New Roman" w:cs="Times New Roman"/>
          <w:i/>
          <w:sz w:val="24"/>
          <w:szCs w:val="20"/>
          <w:lang w:eastAsia="es-ES"/>
        </w:rPr>
        <w:t>5.</w:t>
      </w:r>
      <w:r w:rsidR="00C6488D" w:rsidRPr="00C6488D">
        <w:rPr>
          <w:rFonts w:ascii="Times New Roman" w:eastAsia="Times New Roman" w:hAnsi="Times New Roman" w:cs="Times New Roman"/>
          <w:i/>
          <w:sz w:val="24"/>
          <w:szCs w:val="20"/>
          <w:lang w:eastAsia="es-ES"/>
        </w:rPr>
        <w:t xml:space="preserve"> </w:t>
      </w:r>
      <w:r w:rsidRPr="00C6488D">
        <w:rPr>
          <w:rFonts w:ascii="Times New Roman" w:eastAsia="Times New Roman" w:hAnsi="Times New Roman" w:cs="Times New Roman"/>
          <w:i/>
          <w:sz w:val="24"/>
          <w:szCs w:val="20"/>
          <w:lang w:eastAsia="es-ES"/>
        </w:rPr>
        <w:t>Transcurridos los plazos a que se refieren los párrafos 1 y 2 de esta disposición transitoria, en los municipios de 1.000 habitantes o más, la Comisión de Ordenación del Territorio y Urbanismo no podrá aprobar definitivamente modificaciones puntuales de instrumentos de planeamiento no adaptados que persigan un cambio de ordenación que suponga incremento de la densidad de población, a excepción de la delimitación, en suelo clasificado como urbano, de ámbitos de actuación que impliquen la necesidad de alterar la ordenación urbanística vigente, siempre y cuando cumplan con las reglas específicas previstas para ellos en el artículo 24 del Real Decreto Legislativo 7/2015, de 30 de octubre, por el que se aprueba el texto refundido de la Ley de Suelo y Rehabilitación Urbana.</w:t>
      </w:r>
    </w:p>
    <w:p w:rsidR="00032AB9" w:rsidRPr="00C6488D" w:rsidRDefault="00032AB9" w:rsidP="00032AB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C6488D">
        <w:rPr>
          <w:rFonts w:ascii="Times New Roman" w:eastAsia="Times New Roman" w:hAnsi="Times New Roman" w:cs="Times New Roman"/>
          <w:i/>
          <w:sz w:val="24"/>
          <w:szCs w:val="20"/>
          <w:lang w:eastAsia="es-ES"/>
        </w:rPr>
        <w:t>6.</w:t>
      </w:r>
      <w:r w:rsidR="00C6488D">
        <w:rPr>
          <w:rFonts w:ascii="Times New Roman" w:eastAsia="Times New Roman" w:hAnsi="Times New Roman" w:cs="Times New Roman"/>
          <w:i/>
          <w:sz w:val="24"/>
          <w:szCs w:val="20"/>
          <w:lang w:eastAsia="es-ES"/>
        </w:rPr>
        <w:t xml:space="preserve"> </w:t>
      </w:r>
      <w:r w:rsidRPr="00C6488D">
        <w:rPr>
          <w:rFonts w:ascii="Times New Roman" w:eastAsia="Times New Roman" w:hAnsi="Times New Roman" w:cs="Times New Roman"/>
          <w:i/>
          <w:sz w:val="24"/>
          <w:szCs w:val="20"/>
          <w:lang w:eastAsia="es-ES"/>
        </w:rPr>
        <w:t xml:space="preserve">Transcurridos los plazos a que se refieren los párrafos 1 y 2 de esta disposición transitoria, en los municipios de menos de 1.000 habitantes, la Comisión de Ordenación del Territorio y Urbanismo no podrá aprobar definitivamente modificaciones puntuales de instrumentos de planeamiento no adaptados, que conlleven un aumento de edificabilidad de uso residencial superior a los límites señalados en el cuadro que se adjunta, con independencia de que esta superficie se alcance en una única modificación puntual o en varias, bien se tramiten conjuntamente o diferidas en el tiempo, a excepción </w:t>
      </w:r>
      <w:r w:rsidRPr="00C6488D">
        <w:rPr>
          <w:rFonts w:ascii="Times New Roman" w:eastAsia="Times New Roman" w:hAnsi="Times New Roman" w:cs="Times New Roman"/>
          <w:i/>
          <w:sz w:val="24"/>
          <w:szCs w:val="20"/>
          <w:lang w:eastAsia="es-ES"/>
        </w:rPr>
        <w:lastRenderedPageBreak/>
        <w:t>de la delimitación, en suelo clasificado como urbano, de ámbitos de actuación que impliquen la necesidad de alterar la ordenación urbanística vigente, siempre y cuando cumplan con las reglas específicas previstas para ellos en el artículo 24 del Real Decreto Legislativo 7/2015, de 30 de octubre, por el que se aprueba el texto refundido de la Ley de Suelo y Rehabilitación Urbana</w:t>
      </w:r>
      <w:r w:rsidR="00C6488D">
        <w:rPr>
          <w:rFonts w:ascii="Times New Roman" w:eastAsia="Times New Roman" w:hAnsi="Times New Roman" w:cs="Times New Roman"/>
          <w:i/>
          <w:sz w:val="24"/>
          <w:szCs w:val="20"/>
          <w:lang w:eastAsia="es-ES"/>
        </w:rPr>
        <w:t>”</w:t>
      </w:r>
      <w:r w:rsidRPr="00C6488D">
        <w:rPr>
          <w:rFonts w:ascii="Times New Roman" w:eastAsia="Times New Roman" w:hAnsi="Times New Roman" w:cs="Times New Roman"/>
          <w:i/>
          <w:sz w:val="24"/>
          <w:szCs w:val="20"/>
          <w:lang w:eastAsia="es-ES"/>
        </w:rPr>
        <w:t>.</w:t>
      </w:r>
    </w:p>
    <w:p w:rsidR="00622642" w:rsidRPr="00622642" w:rsidRDefault="00622642" w:rsidP="00032AB9">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I) COMUNIDAD VALENCIANA</w:t>
      </w:r>
    </w:p>
    <w:p w:rsidR="00C6488D" w:rsidRPr="00C6488D" w:rsidRDefault="00622642" w:rsidP="00C648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t xml:space="preserve">- </w:t>
      </w:r>
      <w:r w:rsidR="00C6488D" w:rsidRPr="00C6488D">
        <w:rPr>
          <w:rFonts w:ascii="Times New Roman" w:eastAsia="Times New Roman" w:hAnsi="Times New Roman" w:cs="Times New Roman"/>
          <w:b/>
          <w:sz w:val="24"/>
          <w:szCs w:val="20"/>
          <w:u w:val="single"/>
          <w:lang w:eastAsia="es-ES"/>
        </w:rPr>
        <w:t>Decreto 12/2021, de 22 de enero, del Consell, de regulación de la declaración responsable para la primera ocupación y sucesivas de viviendas</w:t>
      </w:r>
      <w:r w:rsidR="00C6488D" w:rsidRPr="00622642">
        <w:rPr>
          <w:rFonts w:ascii="Times New Roman" w:eastAsia="Times New Roman" w:hAnsi="Times New Roman" w:cs="Times New Roman"/>
          <w:sz w:val="18"/>
          <w:szCs w:val="20"/>
          <w:lang w:eastAsia="es-ES"/>
        </w:rPr>
        <w:t>. (</w:t>
      </w:r>
      <w:r w:rsidR="00C6488D" w:rsidRPr="00C6488D">
        <w:rPr>
          <w:rFonts w:ascii="Times New Roman" w:eastAsia="Times New Roman" w:hAnsi="Times New Roman" w:cs="Times New Roman"/>
          <w:sz w:val="24"/>
          <w:szCs w:val="20"/>
          <w:lang w:eastAsia="es-ES"/>
        </w:rPr>
        <w:t>DOGV núm. 9012, de 3 de febrero).</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decreto, e</w:t>
      </w:r>
      <w:r w:rsidRPr="002F327F">
        <w:rPr>
          <w:rFonts w:ascii="Times New Roman" w:eastAsia="Times New Roman" w:hAnsi="Times New Roman" w:cs="Times New Roman"/>
          <w:sz w:val="24"/>
          <w:szCs w:val="20"/>
          <w:lang w:eastAsia="es-ES"/>
        </w:rPr>
        <w:t>n desarrollo de la legislación valenciana sobre urbanismo y sobre ordenación de la calidad de la edificación</w:t>
      </w:r>
      <w:r>
        <w:rPr>
          <w:rFonts w:ascii="Times New Roman" w:eastAsia="Times New Roman" w:hAnsi="Times New Roman" w:cs="Times New Roman"/>
          <w:sz w:val="24"/>
          <w:szCs w:val="20"/>
          <w:lang w:eastAsia="es-ES"/>
        </w:rPr>
        <w:t>, regula</w:t>
      </w:r>
      <w:r w:rsidRPr="002F327F">
        <w:rPr>
          <w:rFonts w:ascii="Times New Roman" w:eastAsia="Times New Roman" w:hAnsi="Times New Roman" w:cs="Times New Roman"/>
          <w:sz w:val="24"/>
          <w:szCs w:val="20"/>
          <w:lang w:eastAsia="es-ES"/>
        </w:rPr>
        <w:t xml:space="preserve"> el ejercicio, a través del procedimiento de declaración responsable, del derecho a la primera ocupación y sucesivas de las viviendas.</w:t>
      </w:r>
    </w:p>
    <w:p w:rsidR="00743DC4"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lo que al ámbito de aplicación se refiere, l</w:t>
      </w:r>
      <w:r w:rsidRPr="002F327F">
        <w:rPr>
          <w:rFonts w:ascii="Times New Roman" w:eastAsia="Times New Roman" w:hAnsi="Times New Roman" w:cs="Times New Roman"/>
          <w:sz w:val="24"/>
          <w:szCs w:val="20"/>
          <w:lang w:eastAsia="es-ES"/>
        </w:rPr>
        <w:t xml:space="preserve">a ocupación de viviendas y edificaciones destinadas a vivienda se ejerce mediante el reconocimiento y amparo de la aptitud para su uso. </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 xml:space="preserve">Es título habilitante para su ejercicio la </w:t>
      </w:r>
      <w:r w:rsidR="00743DC4">
        <w:rPr>
          <w:rFonts w:ascii="Times New Roman" w:eastAsia="Times New Roman" w:hAnsi="Times New Roman" w:cs="Times New Roman"/>
          <w:sz w:val="24"/>
          <w:szCs w:val="20"/>
          <w:lang w:eastAsia="es-ES"/>
        </w:rPr>
        <w:t>DR</w:t>
      </w:r>
      <w:r w:rsidRPr="002F327F">
        <w:rPr>
          <w:rFonts w:ascii="Times New Roman" w:eastAsia="Times New Roman" w:hAnsi="Times New Roman" w:cs="Times New Roman"/>
          <w:sz w:val="24"/>
          <w:szCs w:val="20"/>
          <w:lang w:eastAsia="es-ES"/>
        </w:rPr>
        <w:t xml:space="preserve">, que </w:t>
      </w:r>
      <w:r w:rsidR="00743DC4">
        <w:rPr>
          <w:rFonts w:ascii="Times New Roman" w:eastAsia="Times New Roman" w:hAnsi="Times New Roman" w:cs="Times New Roman"/>
          <w:sz w:val="24"/>
          <w:szCs w:val="20"/>
          <w:lang w:eastAsia="es-ES"/>
        </w:rPr>
        <w:t>tiene</w:t>
      </w:r>
      <w:r w:rsidRPr="002F327F">
        <w:rPr>
          <w:rFonts w:ascii="Times New Roman" w:eastAsia="Times New Roman" w:hAnsi="Times New Roman" w:cs="Times New Roman"/>
          <w:sz w:val="24"/>
          <w:szCs w:val="20"/>
          <w:lang w:eastAsia="es-ES"/>
        </w:rPr>
        <w:t xml:space="preserve"> por objeto acreditar la adecuación de la obra ejecutada al proyecto para el que fue concedida la licencia urbanística municipal de edificación y el cumplimiento de las condiciones de habitabilidad y la aptitud para su uso, conforme a las exigencias de diseño y calidad o cualesquiera otras exigibles para su destino a vivienda conforme a la normativa de aplicación.</w:t>
      </w:r>
    </w:p>
    <w:p w:rsidR="002F327F" w:rsidRPr="002F327F" w:rsidRDefault="00743DC4"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Es aplicable</w:t>
      </w:r>
      <w:r w:rsidR="002F327F" w:rsidRPr="002F327F">
        <w:rPr>
          <w:rFonts w:ascii="Times New Roman" w:eastAsia="Times New Roman" w:hAnsi="Times New Roman" w:cs="Times New Roman"/>
          <w:sz w:val="24"/>
          <w:szCs w:val="20"/>
          <w:lang w:eastAsia="es-ES"/>
        </w:rPr>
        <w:t xml:space="preserve"> tanto a las viviendas de obra nueva como a las viviendas existentes sobre las que se hayan efectuado obras de ampliación, reforma o rehabilitación que alteren su configuración arquitectónica o estructural, y en las edificaciones existentes sin licencia de ocupación anterior, en los términos de la legislación de ordenación de la edificación.</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 xml:space="preserve">La </w:t>
      </w:r>
      <w:r w:rsidR="00743DC4">
        <w:rPr>
          <w:rFonts w:ascii="Times New Roman" w:eastAsia="Times New Roman" w:hAnsi="Times New Roman" w:cs="Times New Roman"/>
          <w:sz w:val="24"/>
          <w:szCs w:val="20"/>
          <w:lang w:eastAsia="es-ES"/>
        </w:rPr>
        <w:t>DR</w:t>
      </w:r>
      <w:r w:rsidRPr="002F327F">
        <w:rPr>
          <w:rFonts w:ascii="Times New Roman" w:eastAsia="Times New Roman" w:hAnsi="Times New Roman" w:cs="Times New Roman"/>
          <w:sz w:val="24"/>
          <w:szCs w:val="20"/>
          <w:lang w:eastAsia="es-ES"/>
        </w:rPr>
        <w:t xml:space="preserve"> manifiesta, bajo la responsabilidad de la persona declarante, la veracidad de </w:t>
      </w:r>
      <w:r w:rsidR="00743DC4">
        <w:rPr>
          <w:rFonts w:ascii="Times New Roman" w:eastAsia="Times New Roman" w:hAnsi="Times New Roman" w:cs="Times New Roman"/>
          <w:sz w:val="24"/>
          <w:szCs w:val="20"/>
          <w:lang w:eastAsia="es-ES"/>
        </w:rPr>
        <w:t>lo expuesto</w:t>
      </w:r>
      <w:r w:rsidRPr="002F327F">
        <w:rPr>
          <w:rFonts w:ascii="Times New Roman" w:eastAsia="Times New Roman" w:hAnsi="Times New Roman" w:cs="Times New Roman"/>
          <w:sz w:val="24"/>
          <w:szCs w:val="20"/>
          <w:lang w:eastAsia="es-ES"/>
        </w:rPr>
        <w:t>, que cumple todos los requisitos técnicos y administrativos establecidos en la normativa vigente y que se compromete a mantener su cumplimiento durante el periodo de tiempo inherente a dicho reconocimiento o ejercicio.</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lastRenderedPageBreak/>
        <w:t xml:space="preserve">Están sujetas a </w:t>
      </w:r>
      <w:r w:rsidR="00743DC4">
        <w:rPr>
          <w:rFonts w:ascii="Times New Roman" w:eastAsia="Times New Roman" w:hAnsi="Times New Roman" w:cs="Times New Roman"/>
          <w:sz w:val="24"/>
          <w:szCs w:val="20"/>
          <w:lang w:eastAsia="es-ES"/>
        </w:rPr>
        <w:t>DR</w:t>
      </w:r>
      <w:r w:rsidRPr="002F327F">
        <w:rPr>
          <w:rFonts w:ascii="Times New Roman" w:eastAsia="Times New Roman" w:hAnsi="Times New Roman" w:cs="Times New Roman"/>
          <w:sz w:val="24"/>
          <w:szCs w:val="20"/>
          <w:lang w:eastAsia="es-ES"/>
        </w:rPr>
        <w:t xml:space="preserve"> de primera ocupación, de conformidad con la legislación aplicable, las siguientes actuaciones urbanísticas en edificaciones de nueva construcción y viviendas existentes, incluidas las catalogadas o que dispongan de algún tipo de protección ambiental, histórico-artística con uso a vivienda:</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a) La primera ocupación en edificaciones de viviendas y sus instalaciones de nueva construcción, concluidas las obras, en los términos de la legislación de ordenación de la edificación.</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b) La primera ocupación de viviendas nuevas resultantes de obras de reforma, ampliación y rehabilitación, concluidas estas, así como aquellas resultantes de obras realizadas en edificaciones existentes que supongan una modificación esencial, en los términos de la legislación de ordenación de la edificación, con respecto a las condiciones por las que se obtuvo la ocupación anterior y con independencia del tiempo transcurrido desde su obtención.</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c) Los cambios de uso a vivienda de edificaciones existentes.</w:t>
      </w:r>
    </w:p>
    <w:p w:rsidR="00743DC4" w:rsidRDefault="00743DC4"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decreto faculta para presentar </w:t>
      </w:r>
      <w:r w:rsidRPr="00743DC4">
        <w:rPr>
          <w:rFonts w:ascii="Times New Roman" w:eastAsia="Times New Roman" w:hAnsi="Times New Roman" w:cs="Times New Roman"/>
          <w:b/>
          <w:sz w:val="24"/>
          <w:szCs w:val="20"/>
          <w:u w:val="single"/>
          <w:lang w:eastAsia="es-ES"/>
        </w:rPr>
        <w:t>DR parciales</w:t>
      </w:r>
      <w:r>
        <w:rPr>
          <w:rFonts w:ascii="Times New Roman" w:eastAsia="Times New Roman" w:hAnsi="Times New Roman" w:cs="Times New Roman"/>
          <w:sz w:val="24"/>
          <w:szCs w:val="20"/>
          <w:lang w:eastAsia="es-ES"/>
        </w:rPr>
        <w:t>, cu</w:t>
      </w:r>
      <w:r w:rsidR="002F327F" w:rsidRPr="002F327F">
        <w:rPr>
          <w:rFonts w:ascii="Times New Roman" w:eastAsia="Times New Roman" w:hAnsi="Times New Roman" w:cs="Times New Roman"/>
          <w:sz w:val="24"/>
          <w:szCs w:val="20"/>
          <w:lang w:eastAsia="es-ES"/>
        </w:rPr>
        <w:t>ando la aptitud y su adecuación a la normativa urbanística permita la utilización independiente, autónoma y diferenciada de partes de una edificación, conforme a lo dispuesto en la legislación de ordenación de la edificación, siempre que queden suficientemente justificadas las condiciones de utilización, salubridad y seguridad contra incendios de las partes del edificio que se pretende poner en uso, así como el funcionamiento autónomo de las instalaciones del edificio para el que se pretende la utilización parcial y que no perjudique a las obras pendientes de ejecución contenidas en el proyecto, conforme al C</w:t>
      </w:r>
      <w:r>
        <w:rPr>
          <w:rFonts w:ascii="Times New Roman" w:eastAsia="Times New Roman" w:hAnsi="Times New Roman" w:cs="Times New Roman"/>
          <w:sz w:val="24"/>
          <w:szCs w:val="20"/>
          <w:lang w:eastAsia="es-ES"/>
        </w:rPr>
        <w:t>TE.</w:t>
      </w:r>
    </w:p>
    <w:p w:rsidR="002F327F" w:rsidRPr="002F327F" w:rsidRDefault="00743DC4"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d</w:t>
      </w:r>
      <w:r w:rsidR="002F327F" w:rsidRPr="002F327F">
        <w:rPr>
          <w:rFonts w:ascii="Times New Roman" w:eastAsia="Times New Roman" w:hAnsi="Times New Roman" w:cs="Times New Roman"/>
          <w:sz w:val="24"/>
          <w:szCs w:val="20"/>
          <w:lang w:eastAsia="es-ES"/>
        </w:rPr>
        <w:t>ocumentación necesaria para la solicitud de primera ocupación</w:t>
      </w:r>
      <w:r>
        <w:rPr>
          <w:rFonts w:ascii="Times New Roman" w:eastAsia="Times New Roman" w:hAnsi="Times New Roman" w:cs="Times New Roman"/>
          <w:sz w:val="24"/>
          <w:szCs w:val="20"/>
          <w:lang w:eastAsia="es-ES"/>
        </w:rPr>
        <w:t xml:space="preserve"> de viviendas por medio de DR, </w:t>
      </w:r>
      <w:r w:rsidRPr="002F327F">
        <w:rPr>
          <w:rFonts w:ascii="Times New Roman" w:eastAsia="Times New Roman" w:hAnsi="Times New Roman" w:cs="Times New Roman"/>
          <w:sz w:val="24"/>
          <w:szCs w:val="20"/>
          <w:lang w:eastAsia="es-ES"/>
        </w:rPr>
        <w:t xml:space="preserve">una vez </w:t>
      </w:r>
      <w:r>
        <w:rPr>
          <w:rFonts w:ascii="Times New Roman" w:eastAsia="Times New Roman" w:hAnsi="Times New Roman" w:cs="Times New Roman"/>
          <w:sz w:val="24"/>
          <w:szCs w:val="20"/>
          <w:lang w:eastAsia="es-ES"/>
        </w:rPr>
        <w:t>finalizada</w:t>
      </w:r>
      <w:r w:rsidRPr="002F327F">
        <w:rPr>
          <w:rFonts w:ascii="Times New Roman" w:eastAsia="Times New Roman" w:hAnsi="Times New Roman" w:cs="Times New Roman"/>
          <w:sz w:val="24"/>
          <w:szCs w:val="20"/>
          <w:lang w:eastAsia="es-ES"/>
        </w:rPr>
        <w:t xml:space="preserve"> la edificación y cumplidas las condiciones señaladas en la licencia de obras</w:t>
      </w:r>
      <w:r>
        <w:rPr>
          <w:rFonts w:ascii="Times New Roman" w:eastAsia="Times New Roman" w:hAnsi="Times New Roman" w:cs="Times New Roman"/>
          <w:sz w:val="24"/>
          <w:szCs w:val="20"/>
          <w:lang w:eastAsia="es-ES"/>
        </w:rPr>
        <w:t>, contendrá:</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a) Datos identificativos de la persona declarante</w:t>
      </w:r>
      <w:r w:rsidR="00743DC4">
        <w:rPr>
          <w:rFonts w:ascii="Times New Roman" w:eastAsia="Times New Roman" w:hAnsi="Times New Roman" w:cs="Times New Roman"/>
          <w:sz w:val="24"/>
          <w:szCs w:val="20"/>
          <w:lang w:eastAsia="es-ES"/>
        </w:rPr>
        <w:t>.</w:t>
      </w:r>
      <w:r w:rsidRPr="002F327F">
        <w:rPr>
          <w:rFonts w:ascii="Times New Roman" w:eastAsia="Times New Roman" w:hAnsi="Times New Roman" w:cs="Times New Roman"/>
          <w:sz w:val="24"/>
          <w:szCs w:val="20"/>
          <w:lang w:eastAsia="es-ES"/>
        </w:rPr>
        <w:t xml:space="preserve"> </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b) Fotografías en soporte digital, en color y con indicación de la fecha, en las que se aprecie la totalidad de la edificación y la situación de los viales que lindan con la parcela.</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lastRenderedPageBreak/>
        <w:t>c) Certificado final de obra y de instalaciones, expedido por la dirección facultativa y visado por los colegios profesionales correspondientes, y en el que declare de forma expresa la conformidad de las obras ejecutadas con el proyecto autorizado por el título habilitante de las obras correspondientes, con las modificaciones aprobadas, en su caso.</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d) Acta de recepción de la obra.</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e) Certificado final de las obras de urbanización, en su caso, cuando se hubiesen acometido simultáneamente con las de edificación.</w:t>
      </w:r>
    </w:p>
    <w:p w:rsidR="002F327F" w:rsidRPr="002F327F" w:rsidRDefault="002F327F"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F327F">
        <w:rPr>
          <w:rFonts w:ascii="Times New Roman" w:eastAsia="Times New Roman" w:hAnsi="Times New Roman" w:cs="Times New Roman"/>
          <w:sz w:val="24"/>
          <w:szCs w:val="20"/>
          <w:lang w:eastAsia="es-ES"/>
        </w:rPr>
        <w:t>f) Manifestación del promotor o titular del edificio de viviendas, o del titular de la respectiva vivienda, en la que se declare que el edificio, construcción o vivienda no se encuentra sujeto a ningún procedimiento de protección de la legalidad urbanística, de restauración de la ordenación urbanística vulnerada o de infracción en materia de ordenación del territorio y urbanismo.</w:t>
      </w:r>
    </w:p>
    <w:p w:rsidR="002F327F" w:rsidRPr="002F327F" w:rsidRDefault="00383734"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Además, el declarante</w:t>
      </w:r>
      <w:r w:rsidR="002F327F" w:rsidRPr="002F327F">
        <w:rPr>
          <w:rFonts w:ascii="Times New Roman" w:eastAsia="Times New Roman" w:hAnsi="Times New Roman" w:cs="Times New Roman"/>
          <w:sz w:val="24"/>
          <w:szCs w:val="20"/>
          <w:lang w:eastAsia="es-ES"/>
        </w:rPr>
        <w:t xml:space="preserve"> manifestará en la </w:t>
      </w:r>
      <w:r>
        <w:rPr>
          <w:rFonts w:ascii="Times New Roman" w:eastAsia="Times New Roman" w:hAnsi="Times New Roman" w:cs="Times New Roman"/>
          <w:sz w:val="24"/>
          <w:szCs w:val="20"/>
          <w:lang w:eastAsia="es-ES"/>
        </w:rPr>
        <w:t>DR que</w:t>
      </w:r>
      <w:r w:rsidR="002F327F" w:rsidRPr="002F327F">
        <w:rPr>
          <w:rFonts w:ascii="Times New Roman" w:eastAsia="Times New Roman" w:hAnsi="Times New Roman" w:cs="Times New Roman"/>
          <w:sz w:val="24"/>
          <w:szCs w:val="20"/>
          <w:lang w:eastAsia="es-ES"/>
        </w:rPr>
        <w:t xml:space="preserve"> dispone de </w:t>
      </w:r>
      <w:r>
        <w:rPr>
          <w:rFonts w:ascii="Times New Roman" w:eastAsia="Times New Roman" w:hAnsi="Times New Roman" w:cs="Times New Roman"/>
          <w:sz w:val="24"/>
          <w:szCs w:val="20"/>
          <w:lang w:eastAsia="es-ES"/>
        </w:rPr>
        <w:t xml:space="preserve">certificados de cumplimiento de la </w:t>
      </w:r>
      <w:r w:rsidR="002F327F" w:rsidRPr="002F327F">
        <w:rPr>
          <w:rFonts w:ascii="Times New Roman" w:eastAsia="Times New Roman" w:hAnsi="Times New Roman" w:cs="Times New Roman"/>
          <w:sz w:val="24"/>
          <w:szCs w:val="20"/>
          <w:lang w:eastAsia="es-ES"/>
        </w:rPr>
        <w:t>normativa de prevención y protección contra incendios</w:t>
      </w:r>
      <w:r>
        <w:rPr>
          <w:rFonts w:ascii="Times New Roman" w:eastAsia="Times New Roman" w:hAnsi="Times New Roman" w:cs="Times New Roman"/>
          <w:sz w:val="24"/>
          <w:szCs w:val="20"/>
          <w:lang w:eastAsia="es-ES"/>
        </w:rPr>
        <w:t>, de aisla</w:t>
      </w:r>
      <w:r w:rsidR="002F327F" w:rsidRPr="002F327F">
        <w:rPr>
          <w:rFonts w:ascii="Times New Roman" w:eastAsia="Times New Roman" w:hAnsi="Times New Roman" w:cs="Times New Roman"/>
          <w:sz w:val="24"/>
          <w:szCs w:val="20"/>
          <w:lang w:eastAsia="es-ES"/>
        </w:rPr>
        <w:t xml:space="preserve">miento acústico y </w:t>
      </w:r>
      <w:r>
        <w:rPr>
          <w:rFonts w:ascii="Times New Roman" w:eastAsia="Times New Roman" w:hAnsi="Times New Roman" w:cs="Times New Roman"/>
          <w:sz w:val="24"/>
          <w:szCs w:val="20"/>
          <w:lang w:eastAsia="es-ES"/>
        </w:rPr>
        <w:t>de e</w:t>
      </w:r>
      <w:r w:rsidR="002F327F" w:rsidRPr="002F327F">
        <w:rPr>
          <w:rFonts w:ascii="Times New Roman" w:eastAsia="Times New Roman" w:hAnsi="Times New Roman" w:cs="Times New Roman"/>
          <w:sz w:val="24"/>
          <w:szCs w:val="20"/>
          <w:lang w:eastAsia="es-ES"/>
        </w:rPr>
        <w:t>ficiencia energética del edificio, en su caso</w:t>
      </w:r>
      <w:r>
        <w:rPr>
          <w:rFonts w:ascii="Times New Roman" w:eastAsia="Times New Roman" w:hAnsi="Times New Roman" w:cs="Times New Roman"/>
          <w:sz w:val="24"/>
          <w:szCs w:val="20"/>
          <w:lang w:eastAsia="es-ES"/>
        </w:rPr>
        <w:t>, la documentación de las compañías de suministro, la que acredite el cumplimiento de la normativa de accesibilidad, et. Toda esta documentación se pondrá a disposición de los técnicos municipales</w:t>
      </w:r>
      <w:r w:rsidR="002F327F" w:rsidRPr="002F327F">
        <w:rPr>
          <w:rFonts w:ascii="Times New Roman" w:eastAsia="Times New Roman" w:hAnsi="Times New Roman" w:cs="Times New Roman"/>
          <w:sz w:val="24"/>
          <w:szCs w:val="20"/>
          <w:lang w:eastAsia="es-ES"/>
        </w:rPr>
        <w:t>, previo requerimiento, cuando se proceda a inspeccionar la vivienda.</w:t>
      </w:r>
    </w:p>
    <w:p w:rsidR="002F327F" w:rsidRPr="002F327F" w:rsidRDefault="00383734" w:rsidP="002F32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decreto también regula las </w:t>
      </w:r>
      <w:r w:rsidRPr="00383734">
        <w:rPr>
          <w:rFonts w:ascii="Times New Roman" w:eastAsia="Times New Roman" w:hAnsi="Times New Roman" w:cs="Times New Roman"/>
          <w:b/>
          <w:sz w:val="24"/>
          <w:szCs w:val="20"/>
          <w:u w:val="single"/>
          <w:lang w:eastAsia="es-ES"/>
        </w:rPr>
        <w:t>DR</w:t>
      </w:r>
      <w:r w:rsidR="002F327F" w:rsidRPr="00383734">
        <w:rPr>
          <w:rFonts w:ascii="Times New Roman" w:eastAsia="Times New Roman" w:hAnsi="Times New Roman" w:cs="Times New Roman"/>
          <w:b/>
          <w:sz w:val="24"/>
          <w:szCs w:val="20"/>
          <w:u w:val="single"/>
          <w:lang w:eastAsia="es-ES"/>
        </w:rPr>
        <w:t xml:space="preserve"> para segunda ocupación y posteriores</w:t>
      </w:r>
      <w:r>
        <w:rPr>
          <w:rFonts w:ascii="Times New Roman" w:eastAsia="Times New Roman" w:hAnsi="Times New Roman" w:cs="Times New Roman"/>
          <w:sz w:val="24"/>
          <w:szCs w:val="20"/>
          <w:lang w:eastAsia="es-ES"/>
        </w:rPr>
        <w:t xml:space="preserve">, al prever que las DR deben renovarse </w:t>
      </w:r>
      <w:r w:rsidR="002F327F" w:rsidRPr="002F327F">
        <w:rPr>
          <w:rFonts w:ascii="Times New Roman" w:eastAsia="Times New Roman" w:hAnsi="Times New Roman" w:cs="Times New Roman"/>
          <w:sz w:val="24"/>
          <w:szCs w:val="20"/>
          <w:lang w:eastAsia="es-ES"/>
        </w:rPr>
        <w:t>transcurridos 10 años desde la obtención de la primera ocupación, cuando se produzca la segunda o posteriores transmisiones de la propiedad</w:t>
      </w:r>
      <w:r>
        <w:rPr>
          <w:rFonts w:ascii="Times New Roman" w:eastAsia="Times New Roman" w:hAnsi="Times New Roman" w:cs="Times New Roman"/>
          <w:sz w:val="24"/>
          <w:szCs w:val="20"/>
          <w:lang w:eastAsia="es-ES"/>
        </w:rPr>
        <w:t xml:space="preserve"> o cuando</w:t>
      </w:r>
      <w:r w:rsidR="002F327F" w:rsidRPr="002F327F">
        <w:rPr>
          <w:rFonts w:ascii="Times New Roman" w:eastAsia="Times New Roman" w:hAnsi="Times New Roman" w:cs="Times New Roman"/>
          <w:sz w:val="24"/>
          <w:szCs w:val="20"/>
          <w:lang w:eastAsia="es-ES"/>
        </w:rPr>
        <w:t xml:space="preserve"> sea necesario formalizar un nuevo contrato de suministro de agua de consumo humano, gas o electricidad. </w:t>
      </w:r>
    </w:p>
    <w:p w:rsidR="002F327F" w:rsidRPr="002F327F" w:rsidRDefault="00383734"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Los mismos requisitos se exigen para los supuestos de </w:t>
      </w:r>
      <w:r w:rsidRPr="00383734">
        <w:rPr>
          <w:rFonts w:ascii="Times New Roman" w:eastAsia="Times New Roman" w:hAnsi="Times New Roman" w:cs="Times New Roman"/>
          <w:b/>
          <w:sz w:val="24"/>
          <w:szCs w:val="20"/>
          <w:u w:val="single"/>
          <w:lang w:eastAsia="es-ES"/>
        </w:rPr>
        <w:t>e</w:t>
      </w:r>
      <w:r w:rsidR="002F327F" w:rsidRPr="00383734">
        <w:rPr>
          <w:rFonts w:ascii="Times New Roman" w:eastAsia="Times New Roman" w:hAnsi="Times New Roman" w:cs="Times New Roman"/>
          <w:b/>
          <w:sz w:val="24"/>
          <w:szCs w:val="20"/>
          <w:u w:val="single"/>
          <w:lang w:eastAsia="es-ES"/>
        </w:rPr>
        <w:t xml:space="preserve">dificaciones existentes </w:t>
      </w:r>
      <w:r w:rsidRPr="00383734">
        <w:rPr>
          <w:rFonts w:ascii="Times New Roman" w:eastAsia="Times New Roman" w:hAnsi="Times New Roman" w:cs="Times New Roman"/>
          <w:b/>
          <w:sz w:val="24"/>
          <w:szCs w:val="20"/>
          <w:u w:val="single"/>
          <w:lang w:eastAsia="es-ES"/>
        </w:rPr>
        <w:t>sin</w:t>
      </w:r>
      <w:r w:rsidR="002F327F" w:rsidRPr="00383734">
        <w:rPr>
          <w:rFonts w:ascii="Times New Roman" w:eastAsia="Times New Roman" w:hAnsi="Times New Roman" w:cs="Times New Roman"/>
          <w:b/>
          <w:sz w:val="24"/>
          <w:szCs w:val="20"/>
          <w:u w:val="single"/>
          <w:lang w:eastAsia="es-ES"/>
        </w:rPr>
        <w:t xml:space="preserve"> título habilitante de ocupación anterior</w:t>
      </w:r>
      <w:r>
        <w:rPr>
          <w:rFonts w:ascii="Times New Roman" w:eastAsia="Times New Roman" w:hAnsi="Times New Roman" w:cs="Times New Roman"/>
          <w:sz w:val="24"/>
          <w:szCs w:val="20"/>
          <w:lang w:eastAsia="es-ES"/>
        </w:rPr>
        <w:t xml:space="preserve">, </w:t>
      </w:r>
      <w:r w:rsidR="002F327F" w:rsidRPr="002F327F">
        <w:rPr>
          <w:rFonts w:ascii="Times New Roman" w:eastAsia="Times New Roman" w:hAnsi="Times New Roman" w:cs="Times New Roman"/>
          <w:sz w:val="24"/>
          <w:szCs w:val="20"/>
          <w:lang w:eastAsia="es-ES"/>
        </w:rPr>
        <w:t>cuando sea necesario formalizar un nuevo contrato de suministro de agua de consumo humano, gas o electricidad o cada vez que se produzca la segunda o posteriores transmisiones de la propiedad</w:t>
      </w:r>
      <w:r>
        <w:rPr>
          <w:rFonts w:ascii="Times New Roman" w:eastAsia="Times New Roman" w:hAnsi="Times New Roman" w:cs="Times New Roman"/>
          <w:sz w:val="24"/>
          <w:szCs w:val="20"/>
          <w:lang w:eastAsia="es-ES"/>
        </w:rPr>
        <w:t xml:space="preserve">. En este caso, </w:t>
      </w:r>
      <w:r w:rsidR="002F327F" w:rsidRPr="002F327F">
        <w:rPr>
          <w:rFonts w:ascii="Times New Roman" w:eastAsia="Times New Roman" w:hAnsi="Times New Roman" w:cs="Times New Roman"/>
          <w:sz w:val="24"/>
          <w:szCs w:val="20"/>
          <w:lang w:eastAsia="es-ES"/>
        </w:rPr>
        <w:t xml:space="preserve">con carácter previo a la ocupación, </w:t>
      </w:r>
      <w:r>
        <w:rPr>
          <w:rFonts w:ascii="Times New Roman" w:eastAsia="Times New Roman" w:hAnsi="Times New Roman" w:cs="Times New Roman"/>
          <w:sz w:val="24"/>
          <w:szCs w:val="20"/>
          <w:lang w:eastAsia="es-ES"/>
        </w:rPr>
        <w:t>los propietarios están obligados a presentar una DR</w:t>
      </w:r>
      <w:r w:rsidR="002F327F" w:rsidRPr="002F327F">
        <w:rPr>
          <w:rFonts w:ascii="Times New Roman" w:eastAsia="Times New Roman" w:hAnsi="Times New Roman" w:cs="Times New Roman"/>
          <w:sz w:val="24"/>
          <w:szCs w:val="20"/>
          <w:lang w:eastAsia="es-ES"/>
        </w:rPr>
        <w:t xml:space="preserve"> acompañada de los </w:t>
      </w:r>
      <w:r>
        <w:rPr>
          <w:rFonts w:ascii="Times New Roman" w:eastAsia="Times New Roman" w:hAnsi="Times New Roman" w:cs="Times New Roman"/>
          <w:sz w:val="24"/>
          <w:szCs w:val="20"/>
          <w:lang w:eastAsia="es-ES"/>
        </w:rPr>
        <w:t>d</w:t>
      </w:r>
      <w:r w:rsidR="002F327F" w:rsidRPr="002F327F">
        <w:rPr>
          <w:rFonts w:ascii="Times New Roman" w:eastAsia="Times New Roman" w:hAnsi="Times New Roman" w:cs="Times New Roman"/>
          <w:sz w:val="24"/>
          <w:szCs w:val="20"/>
          <w:lang w:eastAsia="es-ES"/>
        </w:rPr>
        <w:t xml:space="preserve">atos identificativos de la persona declarante </w:t>
      </w:r>
      <w:r>
        <w:rPr>
          <w:rFonts w:ascii="Times New Roman" w:eastAsia="Times New Roman" w:hAnsi="Times New Roman" w:cs="Times New Roman"/>
          <w:sz w:val="24"/>
          <w:szCs w:val="20"/>
          <w:lang w:eastAsia="es-ES"/>
        </w:rPr>
        <w:t>y c</w:t>
      </w:r>
      <w:r w:rsidR="002F327F" w:rsidRPr="002F327F">
        <w:rPr>
          <w:rFonts w:ascii="Times New Roman" w:eastAsia="Times New Roman" w:hAnsi="Times New Roman" w:cs="Times New Roman"/>
          <w:sz w:val="24"/>
          <w:szCs w:val="20"/>
          <w:lang w:eastAsia="es-ES"/>
        </w:rPr>
        <w:t xml:space="preserve">ertificación expedida </w:t>
      </w:r>
      <w:r w:rsidR="002F327F" w:rsidRPr="002F327F">
        <w:rPr>
          <w:rFonts w:ascii="Times New Roman" w:eastAsia="Times New Roman" w:hAnsi="Times New Roman" w:cs="Times New Roman"/>
          <w:sz w:val="24"/>
          <w:szCs w:val="20"/>
          <w:lang w:eastAsia="es-ES"/>
        </w:rPr>
        <w:lastRenderedPageBreak/>
        <w:t>por técnico competente, de que el edificio o, en su caso, la parte de este susceptible de un uso individualizado se ajusta a las condiciones que supusieron el otorgamiento del primer o anterior título habilitante de ocupación a la que se solicita.</w:t>
      </w:r>
      <w:r w:rsidR="00A337B3">
        <w:rPr>
          <w:rFonts w:ascii="Times New Roman" w:eastAsia="Times New Roman" w:hAnsi="Times New Roman" w:cs="Times New Roman"/>
          <w:sz w:val="24"/>
          <w:szCs w:val="20"/>
          <w:lang w:eastAsia="es-ES"/>
        </w:rPr>
        <w:t xml:space="preserve"> </w:t>
      </w:r>
    </w:p>
    <w:p w:rsidR="00743DC4" w:rsidRPr="00743DC4" w:rsidRDefault="00A337B3" w:rsidP="00743DC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todo caso, la DR </w:t>
      </w:r>
      <w:r w:rsidR="00743DC4" w:rsidRPr="00743DC4">
        <w:rPr>
          <w:rFonts w:ascii="Times New Roman" w:eastAsia="Times New Roman" w:hAnsi="Times New Roman" w:cs="Times New Roman"/>
          <w:sz w:val="24"/>
          <w:szCs w:val="20"/>
          <w:lang w:eastAsia="es-ES"/>
        </w:rPr>
        <w:t>de ocupación se presentará ante el ayuntamiento donde radique la vivienda acompañada de las autorizaciones previas o informes preceptivos conforme a la normativa sectorial aplicable</w:t>
      </w:r>
      <w:r>
        <w:rPr>
          <w:rFonts w:ascii="Times New Roman" w:eastAsia="Times New Roman" w:hAnsi="Times New Roman" w:cs="Times New Roman"/>
          <w:sz w:val="24"/>
          <w:szCs w:val="20"/>
          <w:lang w:eastAsia="es-ES"/>
        </w:rPr>
        <w:t xml:space="preserve">, careciendo </w:t>
      </w:r>
      <w:r w:rsidR="00743DC4" w:rsidRPr="00743DC4">
        <w:rPr>
          <w:rFonts w:ascii="Times New Roman" w:eastAsia="Times New Roman" w:hAnsi="Times New Roman" w:cs="Times New Roman"/>
          <w:sz w:val="24"/>
          <w:szCs w:val="20"/>
          <w:lang w:eastAsia="es-ES"/>
        </w:rPr>
        <w:t xml:space="preserve">de validez y eficacia las </w:t>
      </w:r>
      <w:r>
        <w:rPr>
          <w:rFonts w:ascii="Times New Roman" w:eastAsia="Times New Roman" w:hAnsi="Times New Roman" w:cs="Times New Roman"/>
          <w:sz w:val="24"/>
          <w:szCs w:val="20"/>
          <w:lang w:eastAsia="es-ES"/>
        </w:rPr>
        <w:t>DR</w:t>
      </w:r>
      <w:r w:rsidR="00743DC4" w:rsidRPr="00743DC4">
        <w:rPr>
          <w:rFonts w:ascii="Times New Roman" w:eastAsia="Times New Roman" w:hAnsi="Times New Roman" w:cs="Times New Roman"/>
          <w:sz w:val="24"/>
          <w:szCs w:val="20"/>
          <w:lang w:eastAsia="es-ES"/>
        </w:rPr>
        <w:t xml:space="preserve"> de ocupación que se presenten y registren cuando se haya iniciado por la administración municipal expediente de protección de la legalidad urbanística, de restauración de la ordenación urbanística vulnerada o de infracción en materia de ordenación del territorio y urbanismo pendiente de resolución.</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cuanto a los </w:t>
      </w:r>
      <w:r w:rsidRPr="00A337B3">
        <w:rPr>
          <w:rFonts w:ascii="Times New Roman" w:eastAsia="Times New Roman" w:hAnsi="Times New Roman" w:cs="Times New Roman"/>
          <w:b/>
          <w:sz w:val="24"/>
          <w:szCs w:val="20"/>
          <w:u w:val="single"/>
          <w:lang w:eastAsia="es-ES"/>
        </w:rPr>
        <w:t>efectos de las DR</w:t>
      </w:r>
      <w:r>
        <w:rPr>
          <w:rFonts w:ascii="Times New Roman" w:eastAsia="Times New Roman" w:hAnsi="Times New Roman" w:cs="Times New Roman"/>
          <w:sz w:val="24"/>
          <w:szCs w:val="20"/>
          <w:lang w:eastAsia="es-ES"/>
        </w:rPr>
        <w:t>, facultan</w:t>
      </w:r>
      <w:r w:rsidRPr="00A337B3">
        <w:rPr>
          <w:rFonts w:ascii="Times New Roman" w:eastAsia="Times New Roman" w:hAnsi="Times New Roman" w:cs="Times New Roman"/>
          <w:sz w:val="24"/>
          <w:szCs w:val="20"/>
          <w:lang w:eastAsia="es-ES"/>
        </w:rPr>
        <w:t xml:space="preserve"> para la ocupación y uso de la vivienda desde el día de su presentación, sin perjuicio de las potestades municipales de comprobación, control o inspección de los requisitos habilitantes para el ejercicio del derecho y de la adecuación de lo ejecutado al contenido de la declaración.</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Estos efectos</w:t>
      </w:r>
      <w:r w:rsidRPr="00A337B3">
        <w:rPr>
          <w:rFonts w:ascii="Times New Roman" w:eastAsia="Times New Roman" w:hAnsi="Times New Roman" w:cs="Times New Roman"/>
          <w:sz w:val="24"/>
          <w:szCs w:val="20"/>
          <w:lang w:eastAsia="es-ES"/>
        </w:rPr>
        <w:t xml:space="preserve"> se podrán hacer valer siempre que el contenido de la </w:t>
      </w:r>
      <w:r>
        <w:rPr>
          <w:rFonts w:ascii="Times New Roman" w:eastAsia="Times New Roman" w:hAnsi="Times New Roman" w:cs="Times New Roman"/>
          <w:sz w:val="24"/>
          <w:szCs w:val="20"/>
          <w:lang w:eastAsia="es-ES"/>
        </w:rPr>
        <w:t>DR</w:t>
      </w:r>
      <w:r w:rsidRPr="00A337B3">
        <w:rPr>
          <w:rFonts w:ascii="Times New Roman" w:eastAsia="Times New Roman" w:hAnsi="Times New Roman" w:cs="Times New Roman"/>
          <w:sz w:val="24"/>
          <w:szCs w:val="20"/>
          <w:lang w:eastAsia="es-ES"/>
        </w:rPr>
        <w:t xml:space="preserve"> sea conforme con el planeamiento y la normativa urbanística, con las condiciones de la licencia de obras otorgada, una vez finalizadas estas y vaya acompañada de las autorizaciones y documentación requerida en cada caso por la normativa de aplicación.</w:t>
      </w:r>
    </w:p>
    <w:p w:rsid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w:t>
      </w:r>
      <w:r w:rsidRPr="00A337B3">
        <w:rPr>
          <w:rFonts w:ascii="Times New Roman" w:eastAsia="Times New Roman" w:hAnsi="Times New Roman" w:cs="Times New Roman"/>
          <w:sz w:val="24"/>
          <w:szCs w:val="20"/>
          <w:lang w:eastAsia="es-ES"/>
        </w:rPr>
        <w:t xml:space="preserve">or resolución del ayuntamiento se declarará la imposibilidad de continuar con el ejercicio del derecho, o el cese de la ocupación o utilización en su caso, sin perjuicio de las responsabilidades penales, civiles o administrativas a que hubiere lugar, desde el momento en que se tenga constancia de </w:t>
      </w:r>
      <w:r>
        <w:rPr>
          <w:rFonts w:ascii="Times New Roman" w:eastAsia="Times New Roman" w:hAnsi="Times New Roman" w:cs="Times New Roman"/>
          <w:sz w:val="24"/>
          <w:szCs w:val="20"/>
          <w:lang w:eastAsia="es-ES"/>
        </w:rPr>
        <w:t>la</w:t>
      </w:r>
      <w:r w:rsidRPr="00A337B3">
        <w:rPr>
          <w:rFonts w:ascii="Times New Roman" w:eastAsia="Times New Roman" w:hAnsi="Times New Roman" w:cs="Times New Roman"/>
          <w:sz w:val="24"/>
          <w:szCs w:val="20"/>
          <w:lang w:eastAsia="es-ES"/>
        </w:rPr>
        <w:t xml:space="preserve"> inexactitud, falsedad u omisión de carácter esencial en cualquier dato, manifestación o documento que se acompañe o incorpore a la declaración responsable</w:t>
      </w:r>
      <w:r>
        <w:rPr>
          <w:rFonts w:ascii="Times New Roman" w:eastAsia="Times New Roman" w:hAnsi="Times New Roman" w:cs="Times New Roman"/>
          <w:sz w:val="24"/>
          <w:szCs w:val="20"/>
          <w:lang w:eastAsia="es-ES"/>
        </w:rPr>
        <w:t xml:space="preserve">, la </w:t>
      </w:r>
      <w:r w:rsidRPr="00A337B3">
        <w:rPr>
          <w:rFonts w:ascii="Times New Roman" w:eastAsia="Times New Roman" w:hAnsi="Times New Roman" w:cs="Times New Roman"/>
          <w:sz w:val="24"/>
          <w:szCs w:val="20"/>
          <w:lang w:eastAsia="es-ES"/>
        </w:rPr>
        <w:t>no presentación ante la administración competente de la documentación requerida, en su caso, para acreditar el cumplimento de lo declarado</w:t>
      </w:r>
      <w:r>
        <w:rPr>
          <w:rFonts w:ascii="Times New Roman" w:eastAsia="Times New Roman" w:hAnsi="Times New Roman" w:cs="Times New Roman"/>
          <w:sz w:val="24"/>
          <w:szCs w:val="20"/>
          <w:lang w:eastAsia="es-ES"/>
        </w:rPr>
        <w:t>, l</w:t>
      </w:r>
      <w:r w:rsidRPr="00A337B3">
        <w:rPr>
          <w:rFonts w:ascii="Times New Roman" w:eastAsia="Times New Roman" w:hAnsi="Times New Roman" w:cs="Times New Roman"/>
          <w:sz w:val="24"/>
          <w:szCs w:val="20"/>
          <w:lang w:eastAsia="es-ES"/>
        </w:rPr>
        <w:t>a inobservancia de los requisitos necesarios para alcanzar su finalidad impuestos por la normativa aplicable</w:t>
      </w:r>
      <w:r>
        <w:rPr>
          <w:rFonts w:ascii="Times New Roman" w:eastAsia="Times New Roman" w:hAnsi="Times New Roman" w:cs="Times New Roman"/>
          <w:sz w:val="24"/>
          <w:szCs w:val="20"/>
          <w:lang w:eastAsia="es-ES"/>
        </w:rPr>
        <w:t xml:space="preserve"> o el </w:t>
      </w:r>
      <w:r w:rsidRPr="00A337B3">
        <w:rPr>
          <w:rFonts w:ascii="Times New Roman" w:eastAsia="Times New Roman" w:hAnsi="Times New Roman" w:cs="Times New Roman"/>
          <w:sz w:val="24"/>
          <w:szCs w:val="20"/>
          <w:lang w:eastAsia="es-ES"/>
        </w:rPr>
        <w:t xml:space="preserve">incumplimiento de los requisitos necesarios para el uso previsto. </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A337B3">
        <w:rPr>
          <w:rFonts w:ascii="Times New Roman" w:eastAsia="Times New Roman" w:hAnsi="Times New Roman" w:cs="Times New Roman"/>
          <w:sz w:val="24"/>
          <w:szCs w:val="20"/>
          <w:lang w:eastAsia="es-ES"/>
        </w:rPr>
        <w:t>Dicha resolución, que agota la vía administrativa, podrá ser objeto de recurso conforme a la normativa de régimen local aplicable y de procedimiento administrativo común.</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C</w:t>
      </w:r>
      <w:r w:rsidRPr="00A337B3">
        <w:rPr>
          <w:rFonts w:ascii="Times New Roman" w:eastAsia="Times New Roman" w:hAnsi="Times New Roman" w:cs="Times New Roman"/>
          <w:sz w:val="24"/>
          <w:szCs w:val="20"/>
          <w:lang w:eastAsia="es-ES"/>
        </w:rPr>
        <w:t xml:space="preserve">uando la edificación no cumpla los requisitos necesarios para el uso previsto, se adoptarán las medidas necesarias en el plazo de seis meses desde la presentación de la </w:t>
      </w:r>
      <w:r>
        <w:rPr>
          <w:rFonts w:ascii="Times New Roman" w:eastAsia="Times New Roman" w:hAnsi="Times New Roman" w:cs="Times New Roman"/>
          <w:sz w:val="24"/>
          <w:szCs w:val="20"/>
          <w:lang w:eastAsia="es-ES"/>
        </w:rPr>
        <w:t>DR</w:t>
      </w:r>
      <w:r w:rsidRPr="00A337B3">
        <w:rPr>
          <w:rFonts w:ascii="Times New Roman" w:eastAsia="Times New Roman" w:hAnsi="Times New Roman" w:cs="Times New Roman"/>
          <w:sz w:val="24"/>
          <w:szCs w:val="20"/>
          <w:lang w:eastAsia="es-ES"/>
        </w:rPr>
        <w:t>, para el cese de la primera ocupación declarada, incluyendo la comunicación de tales circunstancias a las compañías suministradoras. El ayuntamiento podrá repercutir el importe de tales perjuicios en la persona obligada a la presentación de la declaración responsable.</w:t>
      </w:r>
      <w:r>
        <w:rPr>
          <w:rFonts w:ascii="Times New Roman" w:eastAsia="Times New Roman" w:hAnsi="Times New Roman" w:cs="Times New Roman"/>
          <w:sz w:val="24"/>
          <w:szCs w:val="20"/>
          <w:lang w:eastAsia="es-ES"/>
        </w:rPr>
        <w:t xml:space="preserve"> S</w:t>
      </w:r>
      <w:r w:rsidRPr="00A337B3">
        <w:rPr>
          <w:rFonts w:ascii="Times New Roman" w:eastAsia="Times New Roman" w:hAnsi="Times New Roman" w:cs="Times New Roman"/>
          <w:sz w:val="24"/>
          <w:szCs w:val="20"/>
          <w:lang w:eastAsia="es-ES"/>
        </w:rPr>
        <w:t>i la comprobación se realiza después del plazo citado y las disconformidades o variaciones tuviesen carácter puntual y no impidiesen el uso en condiciones de seguridad, salubridad y ambientales aceptables, no se impedirá el ejercicio de la ocupación durante el tiempo otorgado para la subsanación o, en su caso, para la legalización de las modificaciones.</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A337B3">
        <w:rPr>
          <w:rFonts w:ascii="Times New Roman" w:eastAsia="Times New Roman" w:hAnsi="Times New Roman" w:cs="Times New Roman"/>
          <w:sz w:val="24"/>
          <w:szCs w:val="20"/>
          <w:lang w:eastAsia="es-ES"/>
        </w:rPr>
        <w:t>El ejercicio de las facultades de inspección, comprobación y control por las corporaciones municipales podrá realizarse por medios electrónicos, telemáticos o informáticos, sin perjuicio de la visita de inspección in situ, que se regirá por su normativa reguladora. La documentación electrónica aportada será suscrita por la técnica o el técnico competente conforme a la legislación aplicable, acreditará la veracidad de esta y contendrá referencia a aquellas partes de la edificación o vivienda que justifiquen, junto a la documentación gráfica del proyecto, el cumplimiento de la normativa de diseño y calidad correspondiente.</w:t>
      </w:r>
    </w:p>
    <w:p w:rsidR="00A337B3" w:rsidRPr="00A337B3" w:rsidRDefault="00A337B3" w:rsidP="00A337B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régimen sancionador se remite a lo dispuesto en la</w:t>
      </w:r>
      <w:r w:rsidRPr="00A337B3">
        <w:rPr>
          <w:rFonts w:ascii="Times New Roman" w:eastAsia="Times New Roman" w:hAnsi="Times New Roman" w:cs="Times New Roman"/>
          <w:sz w:val="24"/>
          <w:szCs w:val="20"/>
          <w:lang w:eastAsia="es-ES"/>
        </w:rPr>
        <w:t xml:space="preserve"> legislación de ordenación territorial y urbanística, y de la ordenación y fomento de la calidad de la edificación.</w:t>
      </w:r>
    </w:p>
    <w:p w:rsidR="00C6488D" w:rsidRPr="00EC3ED6" w:rsidRDefault="00EC3ED6"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EC3ED6">
        <w:rPr>
          <w:rFonts w:ascii="Times New Roman" w:eastAsia="Times New Roman" w:hAnsi="Times New Roman" w:cs="Times New Roman"/>
          <w:b/>
          <w:sz w:val="24"/>
          <w:szCs w:val="20"/>
          <w:lang w:eastAsia="es-ES"/>
        </w:rPr>
        <w:t>K) CASTILLA-LA MANCHA</w:t>
      </w:r>
    </w:p>
    <w:p w:rsidR="00B429FC" w:rsidRPr="008E0D50" w:rsidRDefault="00B429FC" w:rsidP="00B429F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t xml:space="preserve">- </w:t>
      </w:r>
      <w:r w:rsidRPr="008E0D50">
        <w:rPr>
          <w:rFonts w:ascii="Times New Roman" w:eastAsia="Times New Roman" w:hAnsi="Times New Roman" w:cs="Times New Roman"/>
          <w:b/>
          <w:sz w:val="24"/>
          <w:szCs w:val="20"/>
          <w:u w:val="single"/>
          <w:lang w:eastAsia="es-ES"/>
        </w:rPr>
        <w:t xml:space="preserve">Ley </w:t>
      </w:r>
      <w:r>
        <w:rPr>
          <w:rFonts w:ascii="Times New Roman" w:eastAsia="Times New Roman" w:hAnsi="Times New Roman" w:cs="Times New Roman"/>
          <w:b/>
          <w:sz w:val="24"/>
          <w:szCs w:val="20"/>
          <w:u w:val="single"/>
          <w:lang w:eastAsia="es-ES"/>
        </w:rPr>
        <w:t>1</w:t>
      </w:r>
      <w:r w:rsidRPr="008E0D50">
        <w:rPr>
          <w:rFonts w:ascii="Times New Roman" w:eastAsia="Times New Roman" w:hAnsi="Times New Roman" w:cs="Times New Roman"/>
          <w:b/>
          <w:sz w:val="24"/>
          <w:szCs w:val="20"/>
          <w:u w:val="single"/>
          <w:lang w:eastAsia="es-ES"/>
        </w:rPr>
        <w:t xml:space="preserve">/2021, de </w:t>
      </w:r>
      <w:r>
        <w:rPr>
          <w:rFonts w:ascii="Times New Roman" w:eastAsia="Times New Roman" w:hAnsi="Times New Roman" w:cs="Times New Roman"/>
          <w:b/>
          <w:sz w:val="24"/>
          <w:szCs w:val="20"/>
          <w:u w:val="single"/>
          <w:lang w:eastAsia="es-ES"/>
        </w:rPr>
        <w:t>1</w:t>
      </w:r>
      <w:r w:rsidRPr="008E0D50">
        <w:rPr>
          <w:rFonts w:ascii="Times New Roman" w:eastAsia="Times New Roman" w:hAnsi="Times New Roman" w:cs="Times New Roman"/>
          <w:b/>
          <w:sz w:val="24"/>
          <w:szCs w:val="20"/>
          <w:u w:val="single"/>
          <w:lang w:eastAsia="es-ES"/>
        </w:rPr>
        <w:t xml:space="preserve">2 de </w:t>
      </w:r>
      <w:r>
        <w:rPr>
          <w:rFonts w:ascii="Times New Roman" w:eastAsia="Times New Roman" w:hAnsi="Times New Roman" w:cs="Times New Roman"/>
          <w:b/>
          <w:sz w:val="24"/>
          <w:szCs w:val="20"/>
          <w:u w:val="single"/>
          <w:lang w:eastAsia="es-ES"/>
        </w:rPr>
        <w:t>febrero</w:t>
      </w:r>
      <w:r w:rsidRPr="008E0D50">
        <w:rPr>
          <w:rFonts w:ascii="Times New Roman" w:eastAsia="Times New Roman" w:hAnsi="Times New Roman" w:cs="Times New Roman"/>
          <w:b/>
          <w:sz w:val="24"/>
          <w:szCs w:val="20"/>
          <w:u w:val="single"/>
          <w:lang w:eastAsia="es-ES"/>
        </w:rPr>
        <w:t xml:space="preserve">, </w:t>
      </w:r>
      <w:r>
        <w:rPr>
          <w:rFonts w:ascii="Times New Roman" w:eastAsia="Times New Roman" w:hAnsi="Times New Roman" w:cs="Times New Roman"/>
          <w:b/>
          <w:sz w:val="24"/>
          <w:szCs w:val="20"/>
          <w:u w:val="single"/>
          <w:lang w:eastAsia="es-ES"/>
        </w:rPr>
        <w:t>de Simplificación Urbanística y Medidas Administrativas</w:t>
      </w:r>
      <w:r>
        <w:rPr>
          <w:rFonts w:ascii="Times New Roman" w:eastAsia="Times New Roman" w:hAnsi="Times New Roman" w:cs="Times New Roman"/>
          <w:sz w:val="24"/>
          <w:szCs w:val="20"/>
          <w:lang w:eastAsia="es-ES"/>
        </w:rPr>
        <w:t>. (DOCLM</w:t>
      </w:r>
      <w:r w:rsidRPr="008E0D50">
        <w:rPr>
          <w:rFonts w:ascii="Times New Roman" w:eastAsia="Times New Roman" w:hAnsi="Times New Roman" w:cs="Times New Roman"/>
          <w:sz w:val="24"/>
          <w:szCs w:val="20"/>
          <w:lang w:eastAsia="es-ES"/>
        </w:rPr>
        <w:t xml:space="preserve"> núm. 96</w:t>
      </w:r>
      <w:r>
        <w:rPr>
          <w:rFonts w:ascii="Times New Roman" w:eastAsia="Times New Roman" w:hAnsi="Times New Roman" w:cs="Times New Roman"/>
          <w:sz w:val="24"/>
          <w:szCs w:val="20"/>
          <w:lang w:eastAsia="es-ES"/>
        </w:rPr>
        <w:t>38</w:t>
      </w:r>
      <w:r w:rsidRPr="008E0D50">
        <w:rPr>
          <w:rFonts w:ascii="Times New Roman" w:eastAsia="Times New Roman" w:hAnsi="Times New Roman" w:cs="Times New Roman"/>
          <w:sz w:val="24"/>
          <w:szCs w:val="20"/>
          <w:lang w:eastAsia="es-ES"/>
        </w:rPr>
        <w:t xml:space="preserve"> de </w:t>
      </w:r>
      <w:r>
        <w:rPr>
          <w:rFonts w:ascii="Times New Roman" w:eastAsia="Times New Roman" w:hAnsi="Times New Roman" w:cs="Times New Roman"/>
          <w:sz w:val="24"/>
          <w:szCs w:val="20"/>
          <w:lang w:eastAsia="es-ES"/>
        </w:rPr>
        <w:t>25</w:t>
      </w:r>
      <w:r w:rsidRPr="008E0D50">
        <w:rPr>
          <w:rFonts w:ascii="Times New Roman" w:eastAsia="Times New Roman" w:hAnsi="Times New Roman" w:cs="Times New Roman"/>
          <w:sz w:val="24"/>
          <w:szCs w:val="20"/>
          <w:lang w:eastAsia="es-ES"/>
        </w:rPr>
        <w:t xml:space="preserve"> de </w:t>
      </w:r>
      <w:r>
        <w:rPr>
          <w:rFonts w:ascii="Times New Roman" w:eastAsia="Times New Roman" w:hAnsi="Times New Roman" w:cs="Times New Roman"/>
          <w:sz w:val="24"/>
          <w:szCs w:val="20"/>
          <w:lang w:eastAsia="es-ES"/>
        </w:rPr>
        <w:t>febrero</w:t>
      </w:r>
      <w:r w:rsidRPr="008E0D50">
        <w:rPr>
          <w:rFonts w:ascii="Times New Roman" w:eastAsia="Times New Roman" w:hAnsi="Times New Roman" w:cs="Times New Roman"/>
          <w:sz w:val="24"/>
          <w:szCs w:val="20"/>
          <w:lang w:eastAsia="es-ES"/>
        </w:rPr>
        <w:t>).</w:t>
      </w:r>
    </w:p>
    <w:p w:rsidR="00A2168D" w:rsidRPr="00A2168D" w:rsidRDefault="00A2168D"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exposición de motivos justifica que el objetivo de esta </w:t>
      </w:r>
      <w:r w:rsidRPr="00A2168D">
        <w:rPr>
          <w:rFonts w:ascii="Times New Roman" w:eastAsia="Times New Roman" w:hAnsi="Times New Roman" w:cs="Times New Roman"/>
          <w:sz w:val="24"/>
          <w:szCs w:val="20"/>
          <w:lang w:eastAsia="es-ES"/>
        </w:rPr>
        <w:t xml:space="preserve">ley </w:t>
      </w:r>
      <w:r>
        <w:rPr>
          <w:rFonts w:ascii="Times New Roman" w:eastAsia="Times New Roman" w:hAnsi="Times New Roman" w:cs="Times New Roman"/>
          <w:sz w:val="24"/>
          <w:szCs w:val="20"/>
          <w:lang w:eastAsia="es-ES"/>
        </w:rPr>
        <w:t>pretende</w:t>
      </w:r>
      <w:r w:rsidRPr="00A2168D">
        <w:rPr>
          <w:rFonts w:ascii="Times New Roman" w:eastAsia="Times New Roman" w:hAnsi="Times New Roman" w:cs="Times New Roman"/>
          <w:sz w:val="24"/>
          <w:szCs w:val="20"/>
          <w:lang w:eastAsia="es-ES"/>
        </w:rPr>
        <w:t xml:space="preserve"> la implantación en la normativa de ordenación territorial y urbanísticos </w:t>
      </w:r>
      <w:r>
        <w:rPr>
          <w:rFonts w:ascii="Times New Roman" w:eastAsia="Times New Roman" w:hAnsi="Times New Roman" w:cs="Times New Roman"/>
          <w:sz w:val="24"/>
          <w:szCs w:val="20"/>
          <w:lang w:eastAsia="es-ES"/>
        </w:rPr>
        <w:t xml:space="preserve">de </w:t>
      </w:r>
      <w:r w:rsidRPr="00A2168D">
        <w:rPr>
          <w:rFonts w:ascii="Times New Roman" w:eastAsia="Times New Roman" w:hAnsi="Times New Roman" w:cs="Times New Roman"/>
          <w:sz w:val="24"/>
          <w:szCs w:val="20"/>
          <w:lang w:eastAsia="es-ES"/>
        </w:rPr>
        <w:t xml:space="preserve">una serie de principios de desarrollo sostenible </w:t>
      </w:r>
      <w:r>
        <w:rPr>
          <w:rFonts w:ascii="Times New Roman" w:eastAsia="Times New Roman" w:hAnsi="Times New Roman" w:cs="Times New Roman"/>
          <w:sz w:val="24"/>
          <w:szCs w:val="20"/>
          <w:lang w:eastAsia="es-ES"/>
        </w:rPr>
        <w:t>incorporando</w:t>
      </w:r>
      <w:r w:rsidRPr="00A2168D">
        <w:rPr>
          <w:rFonts w:ascii="Times New Roman" w:eastAsia="Times New Roman" w:hAnsi="Times New Roman" w:cs="Times New Roman"/>
          <w:sz w:val="24"/>
          <w:szCs w:val="20"/>
          <w:lang w:eastAsia="es-ES"/>
        </w:rPr>
        <w:t xml:space="preserve"> los objetivos de desarrollo sostenible de la Agenda 2030 y las Agendas urbanas europea y española</w:t>
      </w:r>
      <w:r>
        <w:rPr>
          <w:rFonts w:ascii="Times New Roman" w:eastAsia="Times New Roman" w:hAnsi="Times New Roman" w:cs="Times New Roman"/>
          <w:sz w:val="24"/>
          <w:szCs w:val="20"/>
          <w:lang w:eastAsia="es-ES"/>
        </w:rPr>
        <w:t>:</w:t>
      </w:r>
      <w:r w:rsidRPr="00A2168D">
        <w:rPr>
          <w:rFonts w:ascii="Times New Roman" w:eastAsia="Times New Roman" w:hAnsi="Times New Roman" w:cs="Times New Roman"/>
          <w:sz w:val="24"/>
          <w:szCs w:val="20"/>
          <w:lang w:eastAsia="es-ES"/>
        </w:rPr>
        <w:t xml:space="preserve"> ordenar el territorio</w:t>
      </w:r>
      <w:r>
        <w:rPr>
          <w:rFonts w:ascii="Times New Roman" w:eastAsia="Times New Roman" w:hAnsi="Times New Roman" w:cs="Times New Roman"/>
          <w:sz w:val="24"/>
          <w:szCs w:val="20"/>
          <w:lang w:eastAsia="es-ES"/>
        </w:rPr>
        <w:t xml:space="preserve"> mediante</w:t>
      </w:r>
      <w:r w:rsidRPr="00A2168D">
        <w:rPr>
          <w:rFonts w:ascii="Times New Roman" w:eastAsia="Times New Roman" w:hAnsi="Times New Roman" w:cs="Times New Roman"/>
          <w:sz w:val="24"/>
          <w:szCs w:val="20"/>
          <w:lang w:eastAsia="es-ES"/>
        </w:rPr>
        <w:t xml:space="preserve"> un uso racional del suelo en pos de su conservación y protección; evitar la dispersión urbana y revitalizar la ciudad existente; prevenir y reducir los efectos del cambio climático y mejorar la resiliencia; hacer una gestión sostenible de los recursos y favorecer la economía circular; favorecer la proximidad y la movilidad sostenible; fomentar la </w:t>
      </w:r>
      <w:r w:rsidRPr="00A2168D">
        <w:rPr>
          <w:rFonts w:ascii="Times New Roman" w:eastAsia="Times New Roman" w:hAnsi="Times New Roman" w:cs="Times New Roman"/>
          <w:sz w:val="24"/>
          <w:szCs w:val="20"/>
          <w:lang w:eastAsia="es-ES"/>
        </w:rPr>
        <w:lastRenderedPageBreak/>
        <w:t>cohesión social y la equidad, garantizando el acceso a una vivienda digna y adecuada; liderar y fomentar la innovación digital y el tránsito a un consumo energético derivado de fuentes renovables; y mejorar los instrumentos de intervención y la gobernanza.</w:t>
      </w:r>
    </w:p>
    <w:p w:rsidR="00A2168D" w:rsidRPr="00A2168D" w:rsidRDefault="00A2168D"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Se opta por un “</w:t>
      </w:r>
      <w:r w:rsidRPr="00A2168D">
        <w:rPr>
          <w:rFonts w:ascii="Times New Roman" w:eastAsia="Times New Roman" w:hAnsi="Times New Roman" w:cs="Times New Roman"/>
          <w:i/>
          <w:sz w:val="24"/>
          <w:szCs w:val="20"/>
          <w:lang w:eastAsia="es-ES"/>
        </w:rPr>
        <w:t>urbanismo más racional, centrado en la realización del interés general que le es intrínseco, que se debe a la ciudadanía, y que ha de estar dirigido fundamentalmente a la conservación de nuestros recursos naturales -el suelo entre ellos- y, por ende, la regeneración y renovación de los tejidos urbanos existentes, virando definitivamente derroteros de otros tiempos que en no pocas ocasiones generaron crecimientos dispersos, difícilmente sostenibles e incluso, en muchos casos, escasamente conjugables con un real y efectivo interés público</w:t>
      </w:r>
      <w:r>
        <w:rPr>
          <w:rFonts w:ascii="Times New Roman" w:eastAsia="Times New Roman" w:hAnsi="Times New Roman" w:cs="Times New Roman"/>
          <w:sz w:val="24"/>
          <w:szCs w:val="20"/>
          <w:lang w:eastAsia="es-ES"/>
        </w:rPr>
        <w:t>”</w:t>
      </w:r>
      <w:r w:rsidRPr="00A2168D">
        <w:rPr>
          <w:rFonts w:ascii="Times New Roman" w:eastAsia="Times New Roman" w:hAnsi="Times New Roman" w:cs="Times New Roman"/>
          <w:sz w:val="24"/>
          <w:szCs w:val="20"/>
          <w:lang w:eastAsia="es-ES"/>
        </w:rPr>
        <w:t>.</w:t>
      </w:r>
    </w:p>
    <w:p w:rsidR="00A2168D" w:rsidRPr="00A2168D" w:rsidRDefault="00A2168D"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Se da protagonismo a la </w:t>
      </w:r>
      <w:r w:rsidRPr="00A2168D">
        <w:rPr>
          <w:rFonts w:ascii="Times New Roman" w:eastAsia="Times New Roman" w:hAnsi="Times New Roman" w:cs="Times New Roman"/>
          <w:sz w:val="24"/>
          <w:szCs w:val="20"/>
          <w:lang w:eastAsia="es-ES"/>
        </w:rPr>
        <w:t xml:space="preserve">ciudad existente. </w:t>
      </w:r>
      <w:r>
        <w:rPr>
          <w:rFonts w:ascii="Times New Roman" w:eastAsia="Times New Roman" w:hAnsi="Times New Roman" w:cs="Times New Roman"/>
          <w:sz w:val="24"/>
          <w:szCs w:val="20"/>
          <w:lang w:eastAsia="es-ES"/>
        </w:rPr>
        <w:t>Introduce</w:t>
      </w:r>
      <w:r w:rsidRPr="00A2168D">
        <w:rPr>
          <w:rFonts w:ascii="Times New Roman" w:eastAsia="Times New Roman" w:hAnsi="Times New Roman" w:cs="Times New Roman"/>
          <w:sz w:val="24"/>
          <w:szCs w:val="20"/>
          <w:lang w:eastAsia="es-ES"/>
        </w:rPr>
        <w:t xml:space="preserve"> mandatos al conjunto de los operadores urbanísticos como el de procurar diseños urbanos que eviten desplazamientos superiores a quince minutos a pie o en bicicleta; o también una genérica interacción entre los ámbitos rural y urbano</w:t>
      </w:r>
      <w:r>
        <w:rPr>
          <w:rFonts w:ascii="Times New Roman" w:eastAsia="Times New Roman" w:hAnsi="Times New Roman" w:cs="Times New Roman"/>
          <w:sz w:val="24"/>
          <w:szCs w:val="20"/>
          <w:lang w:eastAsia="es-ES"/>
        </w:rPr>
        <w:t xml:space="preserve"> (que</w:t>
      </w:r>
      <w:r w:rsidRPr="00A2168D">
        <w:rPr>
          <w:rFonts w:ascii="Times New Roman" w:eastAsia="Times New Roman" w:hAnsi="Times New Roman" w:cs="Times New Roman"/>
          <w:sz w:val="24"/>
          <w:szCs w:val="20"/>
          <w:lang w:eastAsia="es-ES"/>
        </w:rPr>
        <w:t xml:space="preserve"> concreta en medidas novedosas basadas en el redimensionamiento territorial de principios y técnicas clásicas de la materia urbanística como es, entre otras, la relativa a la equidistribución y el justo reparto de las plusvalías generadas por la acción urbanística</w:t>
      </w:r>
      <w:r>
        <w:rPr>
          <w:rFonts w:ascii="Times New Roman" w:eastAsia="Times New Roman" w:hAnsi="Times New Roman" w:cs="Times New Roman"/>
          <w:sz w:val="24"/>
          <w:szCs w:val="20"/>
          <w:lang w:eastAsia="es-ES"/>
        </w:rPr>
        <w:t>)</w:t>
      </w:r>
      <w:r w:rsidRPr="00A2168D">
        <w:rPr>
          <w:rFonts w:ascii="Times New Roman" w:eastAsia="Times New Roman" w:hAnsi="Times New Roman" w:cs="Times New Roman"/>
          <w:sz w:val="24"/>
          <w:szCs w:val="20"/>
          <w:lang w:eastAsia="es-ES"/>
        </w:rPr>
        <w:t>; y</w:t>
      </w:r>
      <w:r>
        <w:rPr>
          <w:rFonts w:ascii="Times New Roman" w:eastAsia="Times New Roman" w:hAnsi="Times New Roman" w:cs="Times New Roman"/>
          <w:sz w:val="24"/>
          <w:szCs w:val="20"/>
          <w:lang w:eastAsia="es-ES"/>
        </w:rPr>
        <w:t>,</w:t>
      </w:r>
      <w:r w:rsidRPr="00A2168D">
        <w:rPr>
          <w:rFonts w:ascii="Times New Roman" w:eastAsia="Times New Roman" w:hAnsi="Times New Roman" w:cs="Times New Roman"/>
          <w:sz w:val="24"/>
          <w:szCs w:val="20"/>
          <w:lang w:eastAsia="es-ES"/>
        </w:rPr>
        <w:t xml:space="preserve"> finalmente</w:t>
      </w:r>
      <w:r>
        <w:rPr>
          <w:rFonts w:ascii="Times New Roman" w:eastAsia="Times New Roman" w:hAnsi="Times New Roman" w:cs="Times New Roman"/>
          <w:sz w:val="24"/>
          <w:szCs w:val="20"/>
          <w:lang w:eastAsia="es-ES"/>
        </w:rPr>
        <w:t>,</w:t>
      </w:r>
      <w:r w:rsidRPr="00A2168D">
        <w:rPr>
          <w:rFonts w:ascii="Times New Roman" w:eastAsia="Times New Roman" w:hAnsi="Times New Roman" w:cs="Times New Roman"/>
          <w:sz w:val="24"/>
          <w:szCs w:val="20"/>
          <w:lang w:eastAsia="es-ES"/>
        </w:rPr>
        <w:t xml:space="preserve"> asienta la idea de convertir a nuestras ciudades medias en referencia de unos territorios más amplios que es preciso comenzar a ordenar ya a una escala territorial que tenga como referencia ámbitos de escala supralocal en el marco de una sociedad cada vez más globalizada.</w:t>
      </w:r>
    </w:p>
    <w:p w:rsidR="00A2168D" w:rsidRPr="00A2168D" w:rsidRDefault="00EE41BC"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Se fomenta</w:t>
      </w:r>
      <w:r w:rsidR="00A2168D" w:rsidRPr="00A2168D">
        <w:rPr>
          <w:rFonts w:ascii="Times New Roman" w:eastAsia="Times New Roman" w:hAnsi="Times New Roman" w:cs="Times New Roman"/>
          <w:sz w:val="24"/>
          <w:szCs w:val="20"/>
          <w:lang w:eastAsia="es-ES"/>
        </w:rPr>
        <w:t xml:space="preserve"> del uso de vehículos eléctricos y del empleo de energías renovables en el ámbito residencial, se apuesta </w:t>
      </w:r>
      <w:r>
        <w:rPr>
          <w:rFonts w:ascii="Times New Roman" w:eastAsia="Times New Roman" w:hAnsi="Times New Roman" w:cs="Times New Roman"/>
          <w:sz w:val="24"/>
          <w:szCs w:val="20"/>
          <w:lang w:eastAsia="es-ES"/>
        </w:rPr>
        <w:t>por</w:t>
      </w:r>
      <w:r w:rsidR="00A2168D" w:rsidRPr="00A2168D">
        <w:rPr>
          <w:rFonts w:ascii="Times New Roman" w:eastAsia="Times New Roman" w:hAnsi="Times New Roman" w:cs="Times New Roman"/>
          <w:sz w:val="24"/>
          <w:szCs w:val="20"/>
          <w:lang w:eastAsia="es-ES"/>
        </w:rPr>
        <w:t xml:space="preserve"> la implantación y desarrollo de los edificios de consumo casi nulo a través de innovaciones que sitúan a éstos como referencia no solo de los objetivos de sostenibilidad y acción por el clima, sino también de una mejor calidad de vida y salud de la ciudadanía que los habita. </w:t>
      </w:r>
      <w:r>
        <w:rPr>
          <w:rFonts w:ascii="Times New Roman" w:eastAsia="Times New Roman" w:hAnsi="Times New Roman" w:cs="Times New Roman"/>
          <w:sz w:val="24"/>
          <w:szCs w:val="20"/>
          <w:lang w:eastAsia="es-ES"/>
        </w:rPr>
        <w:t>También se regulan</w:t>
      </w:r>
      <w:r w:rsidR="00A2168D" w:rsidRPr="00A2168D">
        <w:rPr>
          <w:rFonts w:ascii="Times New Roman" w:eastAsia="Times New Roman" w:hAnsi="Times New Roman" w:cs="Times New Roman"/>
          <w:sz w:val="24"/>
          <w:szCs w:val="20"/>
          <w:lang w:eastAsia="es-ES"/>
        </w:rPr>
        <w:t xml:space="preserve"> aspectos tales como los parámetros de edificabilidad, las envolventes y otras instalaciones propias de </w:t>
      </w:r>
      <w:r>
        <w:rPr>
          <w:rFonts w:ascii="Times New Roman" w:eastAsia="Times New Roman" w:hAnsi="Times New Roman" w:cs="Times New Roman"/>
          <w:sz w:val="24"/>
          <w:szCs w:val="20"/>
          <w:lang w:eastAsia="es-ES"/>
        </w:rPr>
        <w:t>las edificaciones</w:t>
      </w:r>
      <w:r w:rsidR="00A2168D" w:rsidRPr="00A2168D">
        <w:rPr>
          <w:rFonts w:ascii="Times New Roman" w:eastAsia="Times New Roman" w:hAnsi="Times New Roman" w:cs="Times New Roman"/>
          <w:sz w:val="24"/>
          <w:szCs w:val="20"/>
          <w:lang w:eastAsia="es-ES"/>
        </w:rPr>
        <w:t>.</w:t>
      </w:r>
    </w:p>
    <w:p w:rsidR="00A2168D" w:rsidRPr="00A2168D" w:rsidRDefault="00A2168D" w:rsidP="00EE41BC">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A2168D">
        <w:rPr>
          <w:rFonts w:ascii="Times New Roman" w:eastAsia="Times New Roman" w:hAnsi="Times New Roman" w:cs="Times New Roman"/>
          <w:sz w:val="24"/>
          <w:szCs w:val="20"/>
          <w:lang w:eastAsia="es-ES"/>
        </w:rPr>
        <w:t xml:space="preserve">La agilización de los procedimientos que sirven para la implantación y actividades productivas en el territorio y, en particular, los urbanísticos relacionados con éstas, es </w:t>
      </w:r>
      <w:r w:rsidR="00EE41BC">
        <w:rPr>
          <w:rFonts w:ascii="Times New Roman" w:eastAsia="Times New Roman" w:hAnsi="Times New Roman" w:cs="Times New Roman"/>
          <w:sz w:val="24"/>
          <w:szCs w:val="20"/>
          <w:lang w:eastAsia="es-ES"/>
        </w:rPr>
        <w:t>otro de los objetivos de l</w:t>
      </w:r>
      <w:r w:rsidRPr="00A2168D">
        <w:rPr>
          <w:rFonts w:ascii="Times New Roman" w:eastAsia="Times New Roman" w:hAnsi="Times New Roman" w:cs="Times New Roman"/>
          <w:sz w:val="24"/>
          <w:szCs w:val="20"/>
          <w:lang w:eastAsia="es-ES"/>
        </w:rPr>
        <w:t>a ley tiene</w:t>
      </w:r>
      <w:r w:rsidR="00EE41BC">
        <w:rPr>
          <w:rFonts w:ascii="Times New Roman" w:eastAsia="Times New Roman" w:hAnsi="Times New Roman" w:cs="Times New Roman"/>
          <w:sz w:val="24"/>
          <w:szCs w:val="20"/>
          <w:lang w:eastAsia="es-ES"/>
        </w:rPr>
        <w:t xml:space="preserve">, </w:t>
      </w:r>
      <w:r w:rsidR="00EE41BC" w:rsidRPr="00EE41BC">
        <w:rPr>
          <w:rFonts w:ascii="Times New Roman" w:eastAsia="Times New Roman" w:hAnsi="Times New Roman" w:cs="Times New Roman"/>
          <w:sz w:val="24"/>
          <w:szCs w:val="20"/>
          <w:lang w:eastAsia="es-ES"/>
        </w:rPr>
        <w:t>con el fin de favorecer a los pequeños municipios, profundizando</w:t>
      </w:r>
      <w:r w:rsidR="00EE41BC">
        <w:rPr>
          <w:rFonts w:ascii="Times New Roman" w:eastAsia="Times New Roman" w:hAnsi="Times New Roman" w:cs="Times New Roman"/>
          <w:sz w:val="24"/>
          <w:szCs w:val="20"/>
          <w:lang w:eastAsia="es-ES"/>
        </w:rPr>
        <w:t xml:space="preserve"> las medidas que había iniciado la</w:t>
      </w:r>
      <w:r w:rsidRPr="00A2168D">
        <w:rPr>
          <w:rFonts w:ascii="Times New Roman" w:eastAsia="Times New Roman" w:hAnsi="Times New Roman" w:cs="Times New Roman"/>
          <w:sz w:val="24"/>
          <w:szCs w:val="20"/>
          <w:lang w:eastAsia="es-ES"/>
        </w:rPr>
        <w:t xml:space="preserve"> Ley 5/2020, de 24 de julio, de medidas </w:t>
      </w:r>
      <w:r w:rsidRPr="00A2168D">
        <w:rPr>
          <w:rFonts w:ascii="Times New Roman" w:eastAsia="Times New Roman" w:hAnsi="Times New Roman" w:cs="Times New Roman"/>
          <w:sz w:val="24"/>
          <w:szCs w:val="20"/>
          <w:lang w:eastAsia="es-ES"/>
        </w:rPr>
        <w:lastRenderedPageBreak/>
        <w:t>urgentes para la declaración de proyectos prioritarios en Castilla-La Mancha</w:t>
      </w:r>
      <w:r w:rsidR="00EE41BC">
        <w:rPr>
          <w:rFonts w:ascii="Times New Roman" w:eastAsia="Times New Roman" w:hAnsi="Times New Roman" w:cs="Times New Roman"/>
          <w:sz w:val="24"/>
          <w:szCs w:val="20"/>
          <w:lang w:eastAsia="es-ES"/>
        </w:rPr>
        <w:t xml:space="preserve">. Todo ello, sin perjuicio de </w:t>
      </w:r>
      <w:r w:rsidRPr="00A2168D">
        <w:rPr>
          <w:rFonts w:ascii="Times New Roman" w:eastAsia="Times New Roman" w:hAnsi="Times New Roman" w:cs="Times New Roman"/>
          <w:sz w:val="24"/>
          <w:szCs w:val="20"/>
          <w:lang w:eastAsia="es-ES"/>
        </w:rPr>
        <w:t>no minimizar las garantías intrínsecas a dichos procedimientos ni tampoco la participación de la ciudadanía en la formación de toda decisión pública urbanística, considerando que dicha participación constituye un paradigma en pos de su mejor adecuación al interés público que ha de recabar siempre este tipo de actuaciones.</w:t>
      </w:r>
    </w:p>
    <w:p w:rsidR="00A2168D" w:rsidRPr="00A2168D" w:rsidRDefault="00EE41BC"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Se flexibilizan</w:t>
      </w:r>
      <w:r w:rsidR="00A2168D" w:rsidRPr="00A2168D">
        <w:rPr>
          <w:rFonts w:ascii="Times New Roman" w:eastAsia="Times New Roman" w:hAnsi="Times New Roman" w:cs="Times New Roman"/>
          <w:sz w:val="24"/>
          <w:szCs w:val="20"/>
          <w:lang w:eastAsia="es-ES"/>
        </w:rPr>
        <w:t xml:space="preserve"> los contenidos y requisitos de figuras urbanísticas, tanto de planeamiento, tales como planes parciales y planes especiales de infraestructuras, como complementarias, estudios de detalle, y de ejecución, como son los programas de actuación urbanizadora. </w:t>
      </w:r>
    </w:p>
    <w:p w:rsidR="00B53951" w:rsidRDefault="0001369D"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ley adecua</w:t>
      </w:r>
      <w:r w:rsidR="00A2168D" w:rsidRPr="00A2168D">
        <w:rPr>
          <w:rFonts w:ascii="Times New Roman" w:eastAsia="Times New Roman" w:hAnsi="Times New Roman" w:cs="Times New Roman"/>
          <w:sz w:val="24"/>
          <w:szCs w:val="20"/>
          <w:lang w:eastAsia="es-ES"/>
        </w:rPr>
        <w:t xml:space="preserve"> la regulación de la </w:t>
      </w:r>
      <w:r w:rsidR="00A2168D" w:rsidRPr="00B53951">
        <w:rPr>
          <w:rFonts w:ascii="Times New Roman" w:eastAsia="Times New Roman" w:hAnsi="Times New Roman" w:cs="Times New Roman"/>
          <w:sz w:val="24"/>
          <w:szCs w:val="20"/>
          <w:u w:val="single"/>
          <w:lang w:eastAsia="es-ES"/>
        </w:rPr>
        <w:t>reserva de suelo para viviendas</w:t>
      </w:r>
      <w:r w:rsidR="00A2168D" w:rsidRPr="00A2168D">
        <w:rPr>
          <w:rFonts w:ascii="Times New Roman" w:eastAsia="Times New Roman" w:hAnsi="Times New Roman" w:cs="Times New Roman"/>
          <w:sz w:val="24"/>
          <w:szCs w:val="20"/>
          <w:lang w:eastAsia="es-ES"/>
        </w:rPr>
        <w:t xml:space="preserve"> sujetas a algún tipo de protección pública</w:t>
      </w:r>
      <w:r>
        <w:rPr>
          <w:rFonts w:ascii="Times New Roman" w:eastAsia="Times New Roman" w:hAnsi="Times New Roman" w:cs="Times New Roman"/>
          <w:sz w:val="24"/>
          <w:szCs w:val="20"/>
          <w:lang w:eastAsia="es-ES"/>
        </w:rPr>
        <w:t xml:space="preserve">, considera </w:t>
      </w:r>
      <w:r w:rsidR="00A2168D" w:rsidRPr="00A2168D">
        <w:rPr>
          <w:rFonts w:ascii="Times New Roman" w:eastAsia="Times New Roman" w:hAnsi="Times New Roman" w:cs="Times New Roman"/>
          <w:sz w:val="24"/>
          <w:szCs w:val="20"/>
          <w:lang w:eastAsia="es-ES"/>
        </w:rPr>
        <w:t>las especialidades de nuestros pequeños municipios, la mayoría en regresión demográfica, y</w:t>
      </w:r>
      <w:r>
        <w:rPr>
          <w:rFonts w:ascii="Times New Roman" w:eastAsia="Times New Roman" w:hAnsi="Times New Roman" w:cs="Times New Roman"/>
          <w:sz w:val="24"/>
          <w:szCs w:val="20"/>
          <w:lang w:eastAsia="es-ES"/>
        </w:rPr>
        <w:t xml:space="preserve"> </w:t>
      </w:r>
      <w:r w:rsidR="00A2168D" w:rsidRPr="00A2168D">
        <w:rPr>
          <w:rFonts w:ascii="Times New Roman" w:eastAsia="Times New Roman" w:hAnsi="Times New Roman" w:cs="Times New Roman"/>
          <w:sz w:val="24"/>
          <w:szCs w:val="20"/>
          <w:lang w:eastAsia="es-ES"/>
        </w:rPr>
        <w:t xml:space="preserve">busca correspondencia entre demanda y oferta en la regulación de estos suelos a fin de evitar </w:t>
      </w:r>
      <w:r>
        <w:rPr>
          <w:rFonts w:ascii="Times New Roman" w:eastAsia="Times New Roman" w:hAnsi="Times New Roman" w:cs="Times New Roman"/>
          <w:sz w:val="24"/>
          <w:szCs w:val="20"/>
          <w:lang w:eastAsia="es-ES"/>
        </w:rPr>
        <w:t xml:space="preserve">la creación de </w:t>
      </w:r>
      <w:r w:rsidR="00A2168D" w:rsidRPr="00A2168D">
        <w:rPr>
          <w:rFonts w:ascii="Times New Roman" w:eastAsia="Times New Roman" w:hAnsi="Times New Roman" w:cs="Times New Roman"/>
          <w:sz w:val="24"/>
          <w:szCs w:val="20"/>
          <w:lang w:eastAsia="es-ES"/>
        </w:rPr>
        <w:t xml:space="preserve">solares faltos de edificación </w:t>
      </w:r>
      <w:r>
        <w:rPr>
          <w:rFonts w:ascii="Times New Roman" w:eastAsia="Times New Roman" w:hAnsi="Times New Roman" w:cs="Times New Roman"/>
          <w:sz w:val="24"/>
          <w:szCs w:val="20"/>
          <w:lang w:eastAsia="es-ES"/>
        </w:rPr>
        <w:t>o que constituyan</w:t>
      </w:r>
      <w:r w:rsidR="00A2168D" w:rsidRPr="00A2168D">
        <w:rPr>
          <w:rFonts w:ascii="Times New Roman" w:eastAsia="Times New Roman" w:hAnsi="Times New Roman" w:cs="Times New Roman"/>
          <w:sz w:val="24"/>
          <w:szCs w:val="20"/>
          <w:lang w:eastAsia="es-ES"/>
        </w:rPr>
        <w:t xml:space="preserve"> una cortapisa efectiva al desarrollo de otra serie de actuaciones propias del ámbito rural</w:t>
      </w:r>
      <w:r>
        <w:rPr>
          <w:rFonts w:ascii="Times New Roman" w:eastAsia="Times New Roman" w:hAnsi="Times New Roman" w:cs="Times New Roman"/>
          <w:sz w:val="24"/>
          <w:szCs w:val="20"/>
          <w:lang w:eastAsia="es-ES"/>
        </w:rPr>
        <w:t xml:space="preserve"> (</w:t>
      </w:r>
      <w:r w:rsidR="00A2168D" w:rsidRPr="00A2168D">
        <w:rPr>
          <w:rFonts w:ascii="Times New Roman" w:eastAsia="Times New Roman" w:hAnsi="Times New Roman" w:cs="Times New Roman"/>
          <w:sz w:val="24"/>
          <w:szCs w:val="20"/>
          <w:lang w:eastAsia="es-ES"/>
        </w:rPr>
        <w:t>las de carácter estacional y las turísticas, sectores impulsores de la actividad económica de los municipios en él ubicados</w:t>
      </w:r>
      <w:r>
        <w:rPr>
          <w:rFonts w:ascii="Times New Roman" w:eastAsia="Times New Roman" w:hAnsi="Times New Roman" w:cs="Times New Roman"/>
          <w:sz w:val="24"/>
          <w:szCs w:val="20"/>
          <w:lang w:eastAsia="es-ES"/>
        </w:rPr>
        <w:t>)</w:t>
      </w:r>
      <w:r w:rsidR="00A2168D" w:rsidRPr="00A2168D">
        <w:rPr>
          <w:rFonts w:ascii="Times New Roman" w:eastAsia="Times New Roman" w:hAnsi="Times New Roman" w:cs="Times New Roman"/>
          <w:sz w:val="24"/>
          <w:szCs w:val="20"/>
          <w:lang w:eastAsia="es-ES"/>
        </w:rPr>
        <w:t>.</w:t>
      </w:r>
      <w:r w:rsidR="00B53951">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E</w:t>
      </w:r>
      <w:r w:rsidR="00A2168D" w:rsidRPr="00A2168D">
        <w:rPr>
          <w:rFonts w:ascii="Times New Roman" w:eastAsia="Times New Roman" w:hAnsi="Times New Roman" w:cs="Times New Roman"/>
          <w:sz w:val="24"/>
          <w:szCs w:val="20"/>
          <w:lang w:eastAsia="es-ES"/>
        </w:rPr>
        <w:t>sta innovación se ext</w:t>
      </w:r>
      <w:r>
        <w:rPr>
          <w:rFonts w:ascii="Times New Roman" w:eastAsia="Times New Roman" w:hAnsi="Times New Roman" w:cs="Times New Roman"/>
          <w:sz w:val="24"/>
          <w:szCs w:val="20"/>
          <w:lang w:eastAsia="es-ES"/>
        </w:rPr>
        <w:t>i</w:t>
      </w:r>
      <w:r w:rsidR="00A2168D" w:rsidRPr="00A2168D">
        <w:rPr>
          <w:rFonts w:ascii="Times New Roman" w:eastAsia="Times New Roman" w:hAnsi="Times New Roman" w:cs="Times New Roman"/>
          <w:sz w:val="24"/>
          <w:szCs w:val="20"/>
          <w:lang w:eastAsia="es-ES"/>
        </w:rPr>
        <w:t>en</w:t>
      </w:r>
      <w:r>
        <w:rPr>
          <w:rFonts w:ascii="Times New Roman" w:eastAsia="Times New Roman" w:hAnsi="Times New Roman" w:cs="Times New Roman"/>
          <w:sz w:val="24"/>
          <w:szCs w:val="20"/>
          <w:lang w:eastAsia="es-ES"/>
        </w:rPr>
        <w:t>de</w:t>
      </w:r>
      <w:r w:rsidR="00A2168D" w:rsidRPr="00A2168D">
        <w:rPr>
          <w:rFonts w:ascii="Times New Roman" w:eastAsia="Times New Roman" w:hAnsi="Times New Roman" w:cs="Times New Roman"/>
          <w:sz w:val="24"/>
          <w:szCs w:val="20"/>
          <w:lang w:eastAsia="es-ES"/>
        </w:rPr>
        <w:t xml:space="preserve"> a los suelos públicos incluidos en los </w:t>
      </w:r>
      <w:r>
        <w:rPr>
          <w:rFonts w:ascii="Times New Roman" w:eastAsia="Times New Roman" w:hAnsi="Times New Roman" w:cs="Times New Roman"/>
          <w:sz w:val="24"/>
          <w:szCs w:val="20"/>
          <w:lang w:eastAsia="es-ES"/>
        </w:rPr>
        <w:t>PPS</w:t>
      </w:r>
      <w:r w:rsidR="00B53951">
        <w:rPr>
          <w:rFonts w:ascii="Times New Roman" w:eastAsia="Times New Roman" w:hAnsi="Times New Roman" w:cs="Times New Roman"/>
          <w:sz w:val="24"/>
          <w:szCs w:val="20"/>
          <w:lang w:eastAsia="es-ES"/>
        </w:rPr>
        <w:t>.</w:t>
      </w:r>
    </w:p>
    <w:p w:rsidR="00B53951" w:rsidRDefault="00A2168D" w:rsidP="00B53951">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A2168D">
        <w:rPr>
          <w:rFonts w:ascii="Times New Roman" w:eastAsia="Times New Roman" w:hAnsi="Times New Roman" w:cs="Times New Roman"/>
          <w:sz w:val="24"/>
          <w:szCs w:val="20"/>
          <w:lang w:eastAsia="es-ES"/>
        </w:rPr>
        <w:t xml:space="preserve">En </w:t>
      </w:r>
      <w:r w:rsidR="00B53951">
        <w:rPr>
          <w:rFonts w:ascii="Times New Roman" w:eastAsia="Times New Roman" w:hAnsi="Times New Roman" w:cs="Times New Roman"/>
          <w:sz w:val="24"/>
          <w:szCs w:val="20"/>
          <w:lang w:eastAsia="es-ES"/>
        </w:rPr>
        <w:t>cuanto al</w:t>
      </w:r>
      <w:r w:rsidRPr="00A2168D">
        <w:rPr>
          <w:rFonts w:ascii="Times New Roman" w:eastAsia="Times New Roman" w:hAnsi="Times New Roman" w:cs="Times New Roman"/>
          <w:sz w:val="24"/>
          <w:szCs w:val="20"/>
          <w:lang w:eastAsia="es-ES"/>
        </w:rPr>
        <w:t xml:space="preserve"> </w:t>
      </w:r>
      <w:r w:rsidRPr="00B53951">
        <w:rPr>
          <w:rFonts w:ascii="Times New Roman" w:eastAsia="Times New Roman" w:hAnsi="Times New Roman" w:cs="Times New Roman"/>
          <w:sz w:val="24"/>
          <w:szCs w:val="20"/>
          <w:u w:val="single"/>
          <w:lang w:eastAsia="es-ES"/>
        </w:rPr>
        <w:t>tejido productivo</w:t>
      </w:r>
      <w:r w:rsidR="00B53951">
        <w:rPr>
          <w:rFonts w:ascii="Times New Roman" w:eastAsia="Times New Roman" w:hAnsi="Times New Roman" w:cs="Times New Roman"/>
          <w:sz w:val="24"/>
          <w:szCs w:val="20"/>
          <w:u w:val="single"/>
          <w:lang w:eastAsia="es-ES"/>
        </w:rPr>
        <w:t xml:space="preserve"> y para dinamizar la actividad económica</w:t>
      </w:r>
      <w:r w:rsidRPr="00A2168D">
        <w:rPr>
          <w:rFonts w:ascii="Times New Roman" w:eastAsia="Times New Roman" w:hAnsi="Times New Roman" w:cs="Times New Roman"/>
          <w:sz w:val="24"/>
          <w:szCs w:val="20"/>
          <w:lang w:eastAsia="es-ES"/>
        </w:rPr>
        <w:t xml:space="preserve">, y en particular de las zonas de uso industrial ubicadas en la misma y, más concretamente, de las logísticas, la ley </w:t>
      </w:r>
      <w:r w:rsidR="00B53951">
        <w:rPr>
          <w:rFonts w:ascii="Times New Roman" w:eastAsia="Times New Roman" w:hAnsi="Times New Roman" w:cs="Times New Roman"/>
          <w:sz w:val="24"/>
          <w:szCs w:val="20"/>
          <w:lang w:eastAsia="es-ES"/>
        </w:rPr>
        <w:t>introduce modificaciones relativas a:</w:t>
      </w:r>
    </w:p>
    <w:p w:rsidR="00B53951" w:rsidRDefault="00EC49CA" w:rsidP="00B53951">
      <w:pPr>
        <w:pStyle w:val="Prrafodelista"/>
        <w:numPr>
          <w:ilvl w:val="0"/>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w:t>
      </w:r>
      <w:r w:rsidR="00B53951" w:rsidRPr="00B53951">
        <w:rPr>
          <w:rFonts w:ascii="Times New Roman" w:eastAsia="Times New Roman" w:hAnsi="Times New Roman" w:cs="Times New Roman"/>
          <w:sz w:val="24"/>
          <w:szCs w:val="20"/>
          <w:lang w:eastAsia="es-ES"/>
        </w:rPr>
        <w:t xml:space="preserve">ara atender a la </w:t>
      </w:r>
      <w:r w:rsidR="00A2168D" w:rsidRPr="00B53951">
        <w:rPr>
          <w:rFonts w:ascii="Times New Roman" w:eastAsia="Times New Roman" w:hAnsi="Times New Roman" w:cs="Times New Roman"/>
          <w:sz w:val="24"/>
          <w:szCs w:val="20"/>
          <w:lang w:eastAsia="es-ES"/>
        </w:rPr>
        <w:t xml:space="preserve">regulación de los aparcamientos </w:t>
      </w:r>
      <w:r w:rsidR="00B53951" w:rsidRPr="00B53951">
        <w:rPr>
          <w:rFonts w:ascii="Times New Roman" w:eastAsia="Times New Roman" w:hAnsi="Times New Roman" w:cs="Times New Roman"/>
          <w:sz w:val="24"/>
          <w:szCs w:val="20"/>
          <w:lang w:eastAsia="es-ES"/>
        </w:rPr>
        <w:t xml:space="preserve">necesarios para </w:t>
      </w:r>
      <w:r w:rsidR="00A2168D" w:rsidRPr="00B53951">
        <w:rPr>
          <w:rFonts w:ascii="Times New Roman" w:eastAsia="Times New Roman" w:hAnsi="Times New Roman" w:cs="Times New Roman"/>
          <w:sz w:val="24"/>
          <w:szCs w:val="20"/>
          <w:lang w:eastAsia="es-ES"/>
        </w:rPr>
        <w:t xml:space="preserve">las necesidades de las concretas actividades productivas que buscan su implantación en estos ámbitos. </w:t>
      </w:r>
    </w:p>
    <w:p w:rsidR="00B53951" w:rsidRPr="00B53951" w:rsidRDefault="00B53951" w:rsidP="00B53951">
      <w:pPr>
        <w:pStyle w:val="Prrafodelista"/>
        <w:numPr>
          <w:ilvl w:val="0"/>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sidRPr="00B53951">
        <w:rPr>
          <w:rFonts w:ascii="Times New Roman" w:eastAsia="Times New Roman" w:hAnsi="Times New Roman" w:cs="Times New Roman"/>
          <w:sz w:val="24"/>
          <w:szCs w:val="20"/>
          <w:lang w:eastAsia="es-ES"/>
        </w:rPr>
        <w:t>F</w:t>
      </w:r>
      <w:r w:rsidR="00A2168D" w:rsidRPr="00B53951">
        <w:rPr>
          <w:rFonts w:ascii="Times New Roman" w:eastAsia="Times New Roman" w:hAnsi="Times New Roman" w:cs="Times New Roman"/>
          <w:sz w:val="24"/>
          <w:szCs w:val="20"/>
          <w:lang w:eastAsia="es-ES"/>
        </w:rPr>
        <w:t>lexibiliza</w:t>
      </w:r>
      <w:r>
        <w:rPr>
          <w:rFonts w:ascii="Times New Roman" w:eastAsia="Times New Roman" w:hAnsi="Times New Roman" w:cs="Times New Roman"/>
          <w:sz w:val="24"/>
          <w:szCs w:val="20"/>
          <w:lang w:eastAsia="es-ES"/>
        </w:rPr>
        <w:t>ción d</w:t>
      </w:r>
      <w:r w:rsidR="00A2168D" w:rsidRPr="00B53951">
        <w:rPr>
          <w:rFonts w:ascii="Times New Roman" w:eastAsia="Times New Roman" w:hAnsi="Times New Roman" w:cs="Times New Roman"/>
          <w:sz w:val="24"/>
          <w:szCs w:val="20"/>
          <w:lang w:eastAsia="es-ES"/>
        </w:rPr>
        <w:t>el régimen de las zonas verdes con el fin de evitar realidades anteriores como la existencia de estas dotaciones en ámbitos alejados de la población a la que han de servir</w:t>
      </w:r>
      <w:r w:rsidRPr="00B53951">
        <w:rPr>
          <w:rFonts w:ascii="Times New Roman" w:eastAsia="Times New Roman" w:hAnsi="Times New Roman" w:cs="Times New Roman"/>
          <w:sz w:val="24"/>
          <w:szCs w:val="20"/>
          <w:lang w:eastAsia="es-ES"/>
        </w:rPr>
        <w:t xml:space="preserve">, planteando </w:t>
      </w:r>
      <w:r w:rsidR="00A2168D" w:rsidRPr="00B53951">
        <w:rPr>
          <w:rFonts w:ascii="Times New Roman" w:eastAsia="Times New Roman" w:hAnsi="Times New Roman" w:cs="Times New Roman"/>
          <w:sz w:val="24"/>
          <w:szCs w:val="20"/>
          <w:lang w:eastAsia="es-ES"/>
        </w:rPr>
        <w:t>un diseño particularizado de cada actuación</w:t>
      </w:r>
      <w:r w:rsidRPr="00B53951">
        <w:rPr>
          <w:rFonts w:ascii="Times New Roman" w:eastAsia="Times New Roman" w:hAnsi="Times New Roman" w:cs="Times New Roman"/>
          <w:sz w:val="24"/>
          <w:szCs w:val="20"/>
          <w:lang w:eastAsia="es-ES"/>
        </w:rPr>
        <w:t>.</w:t>
      </w:r>
    </w:p>
    <w:p w:rsidR="00EC49CA" w:rsidRDefault="00EC49CA" w:rsidP="00EC49CA">
      <w:pPr>
        <w:pStyle w:val="Prrafodelista"/>
        <w:numPr>
          <w:ilvl w:val="0"/>
          <w:numId w:val="24"/>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R</w:t>
      </w:r>
      <w:r w:rsidR="00A2168D" w:rsidRPr="00A2168D">
        <w:rPr>
          <w:rFonts w:ascii="Times New Roman" w:eastAsia="Times New Roman" w:hAnsi="Times New Roman" w:cs="Times New Roman"/>
          <w:sz w:val="24"/>
          <w:szCs w:val="20"/>
          <w:lang w:eastAsia="es-ES"/>
        </w:rPr>
        <w:t>egulación de dos figuras de gran utilidad práctica en orden al establecimiento de diversas instalaciones de esta naturaleza</w:t>
      </w:r>
      <w:r>
        <w:rPr>
          <w:rFonts w:ascii="Times New Roman" w:eastAsia="Times New Roman" w:hAnsi="Times New Roman" w:cs="Times New Roman"/>
          <w:sz w:val="24"/>
          <w:szCs w:val="20"/>
          <w:lang w:eastAsia="es-ES"/>
        </w:rPr>
        <w:t>:</w:t>
      </w:r>
      <w:r w:rsidR="00A2168D" w:rsidRPr="00A2168D">
        <w:rPr>
          <w:rFonts w:ascii="Times New Roman" w:eastAsia="Times New Roman" w:hAnsi="Times New Roman" w:cs="Times New Roman"/>
          <w:sz w:val="24"/>
          <w:szCs w:val="20"/>
          <w:lang w:eastAsia="es-ES"/>
        </w:rPr>
        <w:t xml:space="preserve"> las autorizaciones provisionales y al </w:t>
      </w:r>
      <w:r>
        <w:rPr>
          <w:rFonts w:ascii="Times New Roman" w:eastAsia="Times New Roman" w:hAnsi="Times New Roman" w:cs="Times New Roman"/>
          <w:sz w:val="24"/>
          <w:szCs w:val="20"/>
          <w:lang w:eastAsia="es-ES"/>
        </w:rPr>
        <w:t>régimen de fuera de ordenación.</w:t>
      </w:r>
    </w:p>
    <w:p w:rsidR="00A2168D" w:rsidRPr="00A2168D" w:rsidRDefault="00EC49CA"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 xml:space="preserve">Otro mecanismo de simplificación son las innovaciones en materia de declaración responsable y </w:t>
      </w:r>
      <w:r w:rsidR="00A2168D" w:rsidRPr="00A2168D">
        <w:rPr>
          <w:rFonts w:ascii="Times New Roman" w:eastAsia="Times New Roman" w:hAnsi="Times New Roman" w:cs="Times New Roman"/>
          <w:sz w:val="24"/>
          <w:szCs w:val="20"/>
          <w:lang w:eastAsia="es-ES"/>
        </w:rPr>
        <w:t>comunicación previa</w:t>
      </w:r>
      <w:r>
        <w:rPr>
          <w:rFonts w:ascii="Times New Roman" w:eastAsia="Times New Roman" w:hAnsi="Times New Roman" w:cs="Times New Roman"/>
          <w:sz w:val="24"/>
          <w:szCs w:val="20"/>
          <w:lang w:eastAsia="es-ES"/>
        </w:rPr>
        <w:t>. Se exige DR en</w:t>
      </w:r>
      <w:r w:rsidR="00A2168D" w:rsidRPr="00A2168D">
        <w:rPr>
          <w:rFonts w:ascii="Times New Roman" w:eastAsia="Times New Roman" w:hAnsi="Times New Roman" w:cs="Times New Roman"/>
          <w:sz w:val="24"/>
          <w:szCs w:val="20"/>
          <w:lang w:eastAsia="es-ES"/>
        </w:rPr>
        <w:t xml:space="preserve"> la primera ocupación, los cambios de usos permitidos por el planeamiento y la instalación de ciertas instalaciones de energías renovables, como las fotovoltaicas de uso doméstico y las de recarga de vehículos eléctricos</w:t>
      </w:r>
      <w:r>
        <w:rPr>
          <w:rFonts w:ascii="Times New Roman" w:eastAsia="Times New Roman" w:hAnsi="Times New Roman" w:cs="Times New Roman"/>
          <w:sz w:val="24"/>
          <w:szCs w:val="20"/>
          <w:lang w:eastAsia="es-ES"/>
        </w:rPr>
        <w:t>, en la línea de la mayoría de las Comunidades Autónomas.</w:t>
      </w:r>
    </w:p>
    <w:p w:rsidR="00A2168D" w:rsidRPr="00A2168D" w:rsidRDefault="00EC49CA"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Amplia de manera importante </w:t>
      </w:r>
      <w:r w:rsidR="00A2168D" w:rsidRPr="00A2168D">
        <w:rPr>
          <w:rFonts w:ascii="Times New Roman" w:eastAsia="Times New Roman" w:hAnsi="Times New Roman" w:cs="Times New Roman"/>
          <w:sz w:val="24"/>
          <w:szCs w:val="20"/>
          <w:lang w:eastAsia="es-ES"/>
        </w:rPr>
        <w:t xml:space="preserve">los fines de los </w:t>
      </w:r>
      <w:r>
        <w:rPr>
          <w:rFonts w:ascii="Times New Roman" w:eastAsia="Times New Roman" w:hAnsi="Times New Roman" w:cs="Times New Roman"/>
          <w:sz w:val="24"/>
          <w:szCs w:val="20"/>
          <w:lang w:eastAsia="es-ES"/>
        </w:rPr>
        <w:t>PPS</w:t>
      </w:r>
      <w:r w:rsidR="00A2168D" w:rsidRPr="00A2168D">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permitiendo</w:t>
      </w:r>
      <w:r w:rsidR="00A2168D" w:rsidRPr="00A2168D">
        <w:rPr>
          <w:rFonts w:ascii="Times New Roman" w:eastAsia="Times New Roman" w:hAnsi="Times New Roman" w:cs="Times New Roman"/>
          <w:sz w:val="24"/>
          <w:szCs w:val="20"/>
          <w:lang w:eastAsia="es-ES"/>
        </w:rPr>
        <w:t xml:space="preserve"> que se refieran a nuevas actuaciones demandadas </w:t>
      </w:r>
      <w:r>
        <w:rPr>
          <w:rFonts w:ascii="Times New Roman" w:eastAsia="Times New Roman" w:hAnsi="Times New Roman" w:cs="Times New Roman"/>
          <w:sz w:val="24"/>
          <w:szCs w:val="20"/>
          <w:lang w:eastAsia="es-ES"/>
        </w:rPr>
        <w:t>por</w:t>
      </w:r>
      <w:r w:rsidR="00A2168D" w:rsidRPr="00A2168D">
        <w:rPr>
          <w:rFonts w:ascii="Times New Roman" w:eastAsia="Times New Roman" w:hAnsi="Times New Roman" w:cs="Times New Roman"/>
          <w:sz w:val="24"/>
          <w:szCs w:val="20"/>
          <w:lang w:eastAsia="es-ES"/>
        </w:rPr>
        <w:t xml:space="preserve"> el ámbito municipal: ejecución de sistemas locales, la regeneración y renovación urbana, y el cumplimiento de objetivos de desarrollo sostenible, como los que se concretan en medidas de fomento de la eficiencia energética, pero también en la lucha contra la despoblación y la mejora de todo el conjunto del medio rural, no únicamente del que estuviera considerado como protegido como rezaba hasta ahora la vigente normativa urbanística.</w:t>
      </w:r>
    </w:p>
    <w:p w:rsidR="00A2168D" w:rsidRPr="00A2168D" w:rsidRDefault="00EC49CA"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D</w:t>
      </w:r>
      <w:r w:rsidR="00A2168D" w:rsidRPr="00A2168D">
        <w:rPr>
          <w:rFonts w:ascii="Times New Roman" w:eastAsia="Times New Roman" w:hAnsi="Times New Roman" w:cs="Times New Roman"/>
          <w:sz w:val="24"/>
          <w:szCs w:val="20"/>
          <w:lang w:eastAsia="es-ES"/>
        </w:rPr>
        <w:t>entro del ámbito del planeamiento general de los pequeños municipios, la ley innova en favor de éstos, la regulación de las reservas de suelo dotacional de los planes de delimitación de suelo urbano que pasa de ser unívoca en términos cuantitativos a flexibilizarse profundamente al determinarse en función de las que resulten adecuadas para cubrir en cada caso las necesidades de la población en cuestión</w:t>
      </w:r>
      <w:r>
        <w:rPr>
          <w:rFonts w:ascii="Times New Roman" w:eastAsia="Times New Roman" w:hAnsi="Times New Roman" w:cs="Times New Roman"/>
          <w:sz w:val="24"/>
          <w:szCs w:val="20"/>
          <w:lang w:eastAsia="es-ES"/>
        </w:rPr>
        <w:t xml:space="preserve">; </w:t>
      </w:r>
      <w:r w:rsidR="00A2168D" w:rsidRPr="00A2168D">
        <w:rPr>
          <w:rFonts w:ascii="Times New Roman" w:eastAsia="Times New Roman" w:hAnsi="Times New Roman" w:cs="Times New Roman"/>
          <w:sz w:val="24"/>
          <w:szCs w:val="20"/>
          <w:lang w:eastAsia="es-ES"/>
        </w:rPr>
        <w:t xml:space="preserve">medidas de flexibilización para municipios que aún no cuentan con un instrumento de planeamiento general, </w:t>
      </w:r>
      <w:r w:rsidR="008E30B2">
        <w:rPr>
          <w:rFonts w:ascii="Times New Roman" w:eastAsia="Times New Roman" w:hAnsi="Times New Roman" w:cs="Times New Roman"/>
          <w:sz w:val="24"/>
          <w:szCs w:val="20"/>
          <w:lang w:eastAsia="es-ES"/>
        </w:rPr>
        <w:t>al permitir</w:t>
      </w:r>
      <w:r w:rsidR="00A2168D" w:rsidRPr="00A2168D">
        <w:rPr>
          <w:rFonts w:ascii="Times New Roman" w:eastAsia="Times New Roman" w:hAnsi="Times New Roman" w:cs="Times New Roman"/>
          <w:sz w:val="24"/>
          <w:szCs w:val="20"/>
          <w:lang w:eastAsia="es-ES"/>
        </w:rPr>
        <w:t xml:space="preserve"> parcelaciones urbanísticas en suelo urbano cuando formen parte de operaciones sucesorias mortis causa.</w:t>
      </w:r>
    </w:p>
    <w:p w:rsidR="00A2168D" w:rsidRPr="00A2168D" w:rsidRDefault="008E30B2"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Regula l</w:t>
      </w:r>
      <w:r w:rsidR="00A2168D" w:rsidRPr="00A2168D">
        <w:rPr>
          <w:rFonts w:ascii="Times New Roman" w:eastAsia="Times New Roman" w:hAnsi="Times New Roman" w:cs="Times New Roman"/>
          <w:sz w:val="24"/>
          <w:szCs w:val="20"/>
          <w:lang w:eastAsia="es-ES"/>
        </w:rPr>
        <w:t xml:space="preserve">a figura de los núcleos rurales tradicionales no irregulares resolviendo un vacío que dejaba a </w:t>
      </w:r>
      <w:r>
        <w:rPr>
          <w:rFonts w:ascii="Times New Roman" w:eastAsia="Times New Roman" w:hAnsi="Times New Roman" w:cs="Times New Roman"/>
          <w:sz w:val="24"/>
          <w:szCs w:val="20"/>
          <w:lang w:eastAsia="es-ES"/>
        </w:rPr>
        <w:t>las pequeñas aldeas</w:t>
      </w:r>
      <w:r w:rsidR="00A2168D" w:rsidRPr="00A2168D">
        <w:rPr>
          <w:rFonts w:ascii="Times New Roman" w:eastAsia="Times New Roman" w:hAnsi="Times New Roman" w:cs="Times New Roman"/>
          <w:sz w:val="24"/>
          <w:szCs w:val="20"/>
          <w:lang w:eastAsia="es-ES"/>
        </w:rPr>
        <w:t xml:space="preserve"> en una especie de «</w:t>
      </w:r>
      <w:r w:rsidR="00A2168D" w:rsidRPr="008E30B2">
        <w:rPr>
          <w:rFonts w:ascii="Times New Roman" w:eastAsia="Times New Roman" w:hAnsi="Times New Roman" w:cs="Times New Roman"/>
          <w:i/>
          <w:sz w:val="24"/>
          <w:szCs w:val="20"/>
          <w:lang w:eastAsia="es-ES"/>
        </w:rPr>
        <w:t>limbo urbanístico</w:t>
      </w:r>
      <w:r w:rsidR="00A2168D" w:rsidRPr="00A2168D">
        <w:rPr>
          <w:rFonts w:ascii="Times New Roman" w:eastAsia="Times New Roman" w:hAnsi="Times New Roman" w:cs="Times New Roman"/>
          <w:sz w:val="24"/>
          <w:szCs w:val="20"/>
          <w:lang w:eastAsia="es-ES"/>
        </w:rPr>
        <w:t>» al que no podían responder los instrumentos urbanísticos vigentes.</w:t>
      </w:r>
    </w:p>
    <w:p w:rsidR="00622642" w:rsidRDefault="008E30B2" w:rsidP="00A2168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00A2168D" w:rsidRPr="00A2168D">
        <w:rPr>
          <w:rFonts w:ascii="Times New Roman" w:eastAsia="Times New Roman" w:hAnsi="Times New Roman" w:cs="Times New Roman"/>
          <w:sz w:val="24"/>
          <w:szCs w:val="20"/>
          <w:lang w:eastAsia="es-ES"/>
        </w:rPr>
        <w:t>a ley introduce otra</w:t>
      </w:r>
      <w:r>
        <w:rPr>
          <w:rFonts w:ascii="Times New Roman" w:eastAsia="Times New Roman" w:hAnsi="Times New Roman" w:cs="Times New Roman"/>
          <w:sz w:val="24"/>
          <w:szCs w:val="20"/>
          <w:lang w:eastAsia="es-ES"/>
        </w:rPr>
        <w:t>s</w:t>
      </w:r>
      <w:r w:rsidR="00A2168D" w:rsidRPr="00A2168D">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modificaciones sobre</w:t>
      </w:r>
      <w:r w:rsidR="00A2168D" w:rsidRPr="00A2168D">
        <w:rPr>
          <w:rFonts w:ascii="Times New Roman" w:eastAsia="Times New Roman" w:hAnsi="Times New Roman" w:cs="Times New Roman"/>
          <w:sz w:val="24"/>
          <w:szCs w:val="20"/>
          <w:lang w:eastAsia="es-ES"/>
        </w:rPr>
        <w:t xml:space="preserve"> los complejos inmobiliarios urbanísticos; la </w:t>
      </w:r>
      <w:r>
        <w:rPr>
          <w:rFonts w:ascii="Times New Roman" w:eastAsia="Times New Roman" w:hAnsi="Times New Roman" w:cs="Times New Roman"/>
          <w:sz w:val="24"/>
          <w:szCs w:val="20"/>
          <w:lang w:eastAsia="es-ES"/>
        </w:rPr>
        <w:t>memoria de viabilidad económica</w:t>
      </w:r>
      <w:r w:rsidR="00A2168D" w:rsidRPr="00A2168D">
        <w:rPr>
          <w:rFonts w:ascii="Times New Roman" w:eastAsia="Times New Roman" w:hAnsi="Times New Roman" w:cs="Times New Roman"/>
          <w:sz w:val="24"/>
          <w:szCs w:val="20"/>
          <w:lang w:eastAsia="es-ES"/>
        </w:rPr>
        <w:t>; la mejor regulación de ciertos aspectos relativos a las expropiaciones urbanísticas así como de la figura del Jurado Regional de Valoraciones; o la ampliación, en pos a una mayor seguridad jurídica, del plazo máximo de duración de procedimientos administrativos tales como los relativos a declaraciones de ruina, el ejercicio de la acción para la restauración de la legalidad urbanística, y los procedimientos sancionadores</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M) COMUNIDAD FORAL DE NAVARRA</w:t>
      </w:r>
    </w:p>
    <w:p w:rsidR="00622642" w:rsidRPr="008E0D50" w:rsidRDefault="00622642"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lastRenderedPageBreak/>
        <w:t xml:space="preserve">- </w:t>
      </w:r>
      <w:r w:rsidR="008E0D50" w:rsidRPr="008E0D50">
        <w:rPr>
          <w:rFonts w:ascii="Times New Roman" w:eastAsia="Times New Roman" w:hAnsi="Times New Roman" w:cs="Times New Roman"/>
          <w:b/>
          <w:sz w:val="24"/>
          <w:szCs w:val="20"/>
          <w:u w:val="single"/>
          <w:lang w:eastAsia="es-ES"/>
        </w:rPr>
        <w:t>Ley Foral 4/2021, de 22 de abril, para la modificación del artículo 192 del Texto Refundido de la Ley Foral de Ordenación del Territorio y Urbanismo aprobado mediante Decreto Foral Legislativo 1/2017, de 26 de julio</w:t>
      </w:r>
      <w:r w:rsidR="008E0D50" w:rsidRPr="008E0D50">
        <w:rPr>
          <w:rFonts w:ascii="Times New Roman" w:eastAsia="Times New Roman" w:hAnsi="Times New Roman" w:cs="Times New Roman"/>
          <w:sz w:val="24"/>
          <w:szCs w:val="20"/>
          <w:lang w:eastAsia="es-ES"/>
        </w:rPr>
        <w:t>. (BON núm. 96, de 28 de abril).</w:t>
      </w:r>
    </w:p>
    <w:p w:rsidR="008E0D50" w:rsidRPr="008E0D50" w:rsidRDefault="008E0D50" w:rsidP="008E0D50">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Se modifica el a</w:t>
      </w:r>
      <w:r w:rsidRPr="008E0D50">
        <w:rPr>
          <w:rFonts w:ascii="Times New Roman" w:eastAsia="Times New Roman" w:hAnsi="Times New Roman" w:cs="Times New Roman"/>
          <w:sz w:val="24"/>
          <w:szCs w:val="20"/>
          <w:lang w:eastAsia="es-ES"/>
        </w:rPr>
        <w:t>rtículo 192</w:t>
      </w:r>
      <w:r>
        <w:rPr>
          <w:rFonts w:ascii="Times New Roman" w:eastAsia="Times New Roman" w:hAnsi="Times New Roman" w:cs="Times New Roman"/>
          <w:sz w:val="24"/>
          <w:szCs w:val="20"/>
          <w:lang w:eastAsia="es-ES"/>
        </w:rPr>
        <w:t xml:space="preserve"> para añadir determinadas actuaciones a la lista de actos</w:t>
      </w:r>
      <w:r w:rsidRPr="008E0D50">
        <w:rPr>
          <w:rFonts w:ascii="Times New Roman" w:eastAsia="Times New Roman" w:hAnsi="Times New Roman" w:cs="Times New Roman"/>
          <w:sz w:val="24"/>
          <w:szCs w:val="20"/>
          <w:lang w:eastAsia="es-ES"/>
        </w:rPr>
        <w:t xml:space="preserve"> sujetos a declaración responsable o comunicación previa</w:t>
      </w:r>
      <w:r>
        <w:rPr>
          <w:rFonts w:ascii="Times New Roman" w:eastAsia="Times New Roman" w:hAnsi="Times New Roman" w:cs="Times New Roman"/>
          <w:sz w:val="24"/>
          <w:szCs w:val="20"/>
          <w:lang w:eastAsia="es-ES"/>
        </w:rPr>
        <w:t xml:space="preserve">, fundamentalmente para atender al autoconsumo en materia energética. La exposición de motivos declara que </w:t>
      </w:r>
      <w:r w:rsidRPr="008E0D50">
        <w:rPr>
          <w:rFonts w:ascii="Times New Roman" w:eastAsia="Times New Roman" w:hAnsi="Times New Roman" w:cs="Times New Roman"/>
          <w:i/>
          <w:sz w:val="24"/>
          <w:szCs w:val="20"/>
          <w:lang w:eastAsia="es-ES"/>
        </w:rPr>
        <w:t>“el autoconsumo eléctrico renovable es un elemento imprescindible para lograr que el consumidor pueda obtener una energía más limpia y barata</w:t>
      </w:r>
      <w:r>
        <w:rPr>
          <w:rFonts w:ascii="Times New Roman" w:eastAsia="Times New Roman" w:hAnsi="Times New Roman" w:cs="Times New Roman"/>
          <w:sz w:val="24"/>
          <w:szCs w:val="20"/>
          <w:lang w:eastAsia="es-ES"/>
        </w:rPr>
        <w:t>” y añade más adelante que “</w:t>
      </w:r>
      <w:r w:rsidRPr="008E0D50">
        <w:rPr>
          <w:rFonts w:ascii="Times New Roman" w:eastAsia="Times New Roman" w:hAnsi="Times New Roman" w:cs="Times New Roman"/>
          <w:i/>
          <w:sz w:val="24"/>
          <w:szCs w:val="20"/>
          <w:lang w:eastAsia="es-ES"/>
        </w:rPr>
        <w:t>la implantación del autoconsumo renovable permitirá disminuir la factura energética con carácter inmediato a los consumidores que lo instalen y, adicionalmente, detraerá demanda de energía en el mercado mayorista, contribuyendo de esta manera a una contención y disminución de precios en el mercado mayorista de energía eléctrica, a una mejora de las condiciones ambientales y a una reducción de la importación de hidrocarburos que redundará en una mejora de la balanza de pagos”.</w:t>
      </w:r>
    </w:p>
    <w:p w:rsidR="00EA25EA" w:rsidRDefault="00EA25EA" w:rsidP="00EA25E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Alude a las reformas normativas que a este respecto se han realizado en otras Comunidades Autónomas y a las</w:t>
      </w:r>
      <w:r w:rsidR="008E0D50" w:rsidRPr="008E0D50">
        <w:rPr>
          <w:rFonts w:ascii="Times New Roman" w:eastAsia="Times New Roman" w:hAnsi="Times New Roman" w:cs="Times New Roman"/>
          <w:sz w:val="24"/>
          <w:szCs w:val="20"/>
          <w:lang w:eastAsia="es-ES"/>
        </w:rPr>
        <w:t xml:space="preserve"> distintas interpretaciones jurídicas </w:t>
      </w:r>
      <w:r>
        <w:rPr>
          <w:rFonts w:ascii="Times New Roman" w:eastAsia="Times New Roman" w:hAnsi="Times New Roman" w:cs="Times New Roman"/>
          <w:sz w:val="24"/>
          <w:szCs w:val="20"/>
          <w:lang w:eastAsia="es-ES"/>
        </w:rPr>
        <w:t xml:space="preserve">dadas al artículo 192.1.e) </w:t>
      </w:r>
      <w:r w:rsidR="008E0D50" w:rsidRPr="008E0D50">
        <w:rPr>
          <w:rFonts w:ascii="Times New Roman" w:eastAsia="Times New Roman" w:hAnsi="Times New Roman" w:cs="Times New Roman"/>
          <w:sz w:val="24"/>
          <w:szCs w:val="20"/>
          <w:lang w:eastAsia="es-ES"/>
        </w:rPr>
        <w:t>del T</w:t>
      </w:r>
      <w:r>
        <w:rPr>
          <w:rFonts w:ascii="Times New Roman" w:eastAsia="Times New Roman" w:hAnsi="Times New Roman" w:cs="Times New Roman"/>
          <w:sz w:val="24"/>
          <w:szCs w:val="20"/>
          <w:lang w:eastAsia="es-ES"/>
        </w:rPr>
        <w:t>R</w:t>
      </w:r>
      <w:r w:rsidR="008E0D50" w:rsidRPr="008E0D50">
        <w:rPr>
          <w:rFonts w:ascii="Times New Roman" w:eastAsia="Times New Roman" w:hAnsi="Times New Roman" w:cs="Times New Roman"/>
          <w:sz w:val="24"/>
          <w:szCs w:val="20"/>
          <w:lang w:eastAsia="es-ES"/>
        </w:rPr>
        <w:t xml:space="preserve"> de la Ley Foral de Ordenación del Territorio y Urbanismo, </w:t>
      </w:r>
      <w:r>
        <w:rPr>
          <w:rFonts w:ascii="Times New Roman" w:eastAsia="Times New Roman" w:hAnsi="Times New Roman" w:cs="Times New Roman"/>
          <w:sz w:val="24"/>
          <w:szCs w:val="20"/>
          <w:lang w:eastAsia="es-ES"/>
        </w:rPr>
        <w:t>que remite a las ordenanzas municipales para concretar el concepto de obras menores.</w:t>
      </w:r>
    </w:p>
    <w:p w:rsidR="008E0D50" w:rsidRPr="008E0D50" w:rsidRDefault="00EA25EA" w:rsidP="008E0D5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Con la reforma añade a los</w:t>
      </w:r>
      <w:r w:rsidRPr="00EA25EA">
        <w:rPr>
          <w:rFonts w:ascii="Times New Roman" w:eastAsia="Times New Roman" w:hAnsi="Times New Roman" w:cs="Times New Roman"/>
          <w:sz w:val="24"/>
          <w:szCs w:val="20"/>
          <w:lang w:eastAsia="es-ES"/>
        </w:rPr>
        <w:t xml:space="preserve"> sujetos al régimen de declaración responsable o comunicación, a los efectos de su constancia, realización y control posterior, las siguientes actuaciones:</w:t>
      </w:r>
    </w:p>
    <w:p w:rsidR="008E0D50" w:rsidRPr="008E0D50" w:rsidRDefault="008E0D50" w:rsidP="008E0D5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8E0D50">
        <w:rPr>
          <w:rFonts w:ascii="Times New Roman" w:eastAsia="Times New Roman" w:hAnsi="Times New Roman" w:cs="Times New Roman"/>
          <w:sz w:val="24"/>
          <w:szCs w:val="20"/>
          <w:lang w:eastAsia="es-ES"/>
        </w:rPr>
        <w:t>g) Instalaciones de aprovechamiento de energía solar para autoconsumo sobre edificaciones o construcciones y pérgolas de aparcamiento, sin limitación de potencia. No estarán sujetas a este régimen las instalaciones:</w:t>
      </w:r>
    </w:p>
    <w:p w:rsidR="008E0D50" w:rsidRPr="00EA25EA" w:rsidRDefault="008E0D50" w:rsidP="00EA25EA">
      <w:pPr>
        <w:pStyle w:val="Prrafodelista"/>
        <w:numPr>
          <w:ilvl w:val="0"/>
          <w:numId w:val="26"/>
        </w:numPr>
        <w:tabs>
          <w:tab w:val="left" w:pos="-2268"/>
        </w:tabs>
        <w:spacing w:before="240" w:after="0" w:line="360" w:lineRule="auto"/>
        <w:jc w:val="both"/>
        <w:rPr>
          <w:rFonts w:ascii="Times New Roman" w:eastAsia="Times New Roman" w:hAnsi="Times New Roman" w:cs="Times New Roman"/>
          <w:sz w:val="24"/>
          <w:szCs w:val="20"/>
          <w:lang w:eastAsia="es-ES"/>
        </w:rPr>
      </w:pPr>
      <w:r w:rsidRPr="00EA25EA">
        <w:rPr>
          <w:rFonts w:ascii="Times New Roman" w:eastAsia="Times New Roman" w:hAnsi="Times New Roman" w:cs="Times New Roman"/>
          <w:sz w:val="24"/>
          <w:szCs w:val="20"/>
          <w:lang w:eastAsia="es-ES"/>
        </w:rPr>
        <w:t>Que se hagan en edificios declarados como bienes de interés cultural o catalogado en cuyo caso será de aplicación l</w:t>
      </w:r>
      <w:r w:rsidR="00EA25EA">
        <w:rPr>
          <w:rFonts w:ascii="Times New Roman" w:eastAsia="Times New Roman" w:hAnsi="Times New Roman" w:cs="Times New Roman"/>
          <w:sz w:val="24"/>
          <w:szCs w:val="20"/>
          <w:lang w:eastAsia="es-ES"/>
        </w:rPr>
        <w:t>o recogido en el artículo 62.7.</w:t>
      </w:r>
      <w:r w:rsidRPr="00EA25EA">
        <w:rPr>
          <w:rFonts w:ascii="Times New Roman" w:eastAsia="Times New Roman" w:hAnsi="Times New Roman" w:cs="Times New Roman"/>
          <w:sz w:val="24"/>
          <w:szCs w:val="20"/>
          <w:lang w:eastAsia="es-ES"/>
        </w:rPr>
        <w:t>c) de la presente ley foral.</w:t>
      </w:r>
    </w:p>
    <w:p w:rsidR="008E0D50" w:rsidRPr="00EA25EA" w:rsidRDefault="008E0D50" w:rsidP="00EA25EA">
      <w:pPr>
        <w:pStyle w:val="Prrafodelista"/>
        <w:numPr>
          <w:ilvl w:val="0"/>
          <w:numId w:val="26"/>
        </w:numPr>
        <w:tabs>
          <w:tab w:val="left" w:pos="-2268"/>
        </w:tabs>
        <w:spacing w:before="240" w:after="0" w:line="360" w:lineRule="auto"/>
        <w:jc w:val="both"/>
        <w:rPr>
          <w:rFonts w:ascii="Times New Roman" w:eastAsia="Times New Roman" w:hAnsi="Times New Roman" w:cs="Times New Roman"/>
          <w:sz w:val="24"/>
          <w:szCs w:val="20"/>
          <w:lang w:eastAsia="es-ES"/>
        </w:rPr>
      </w:pPr>
      <w:r w:rsidRPr="00EA25EA">
        <w:rPr>
          <w:rFonts w:ascii="Times New Roman" w:eastAsia="Times New Roman" w:hAnsi="Times New Roman" w:cs="Times New Roman"/>
          <w:sz w:val="24"/>
          <w:szCs w:val="20"/>
          <w:lang w:eastAsia="es-ES"/>
        </w:rPr>
        <w:t>Que afecten a los cimientos o la estructura del edificio.</w:t>
      </w:r>
    </w:p>
    <w:p w:rsidR="008E0D50" w:rsidRPr="00EA25EA" w:rsidRDefault="008E0D50" w:rsidP="00EA25EA">
      <w:pPr>
        <w:pStyle w:val="Prrafodelista"/>
        <w:numPr>
          <w:ilvl w:val="0"/>
          <w:numId w:val="26"/>
        </w:numPr>
        <w:tabs>
          <w:tab w:val="left" w:pos="-2268"/>
        </w:tabs>
        <w:spacing w:before="240" w:after="0" w:line="360" w:lineRule="auto"/>
        <w:jc w:val="both"/>
        <w:rPr>
          <w:rFonts w:ascii="Times New Roman" w:eastAsia="Times New Roman" w:hAnsi="Times New Roman" w:cs="Times New Roman"/>
          <w:sz w:val="24"/>
          <w:szCs w:val="20"/>
          <w:lang w:eastAsia="es-ES"/>
        </w:rPr>
      </w:pPr>
      <w:r w:rsidRPr="00EA25EA">
        <w:rPr>
          <w:rFonts w:ascii="Times New Roman" w:eastAsia="Times New Roman" w:hAnsi="Times New Roman" w:cs="Times New Roman"/>
          <w:sz w:val="24"/>
          <w:szCs w:val="20"/>
          <w:lang w:eastAsia="es-ES"/>
        </w:rPr>
        <w:t>Que necesiten evaluación de impacto ambiental de acuerdo con la no</w:t>
      </w:r>
      <w:r w:rsidR="00EA25EA">
        <w:rPr>
          <w:rFonts w:ascii="Times New Roman" w:eastAsia="Times New Roman" w:hAnsi="Times New Roman" w:cs="Times New Roman"/>
          <w:sz w:val="24"/>
          <w:szCs w:val="20"/>
          <w:lang w:eastAsia="es-ES"/>
        </w:rPr>
        <w:t>rmativa ambiental de aplicación.</w:t>
      </w:r>
    </w:p>
    <w:p w:rsidR="008E0D50" w:rsidRPr="008E0D50" w:rsidRDefault="008E0D50" w:rsidP="008E0D5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8E0D50">
        <w:rPr>
          <w:rFonts w:ascii="Times New Roman" w:eastAsia="Times New Roman" w:hAnsi="Times New Roman" w:cs="Times New Roman"/>
          <w:sz w:val="24"/>
          <w:szCs w:val="20"/>
          <w:lang w:eastAsia="es-ES"/>
        </w:rPr>
        <w:lastRenderedPageBreak/>
        <w:t>h) Los puntos de recarga de vehículos eléctricos situados en el interior de edificaciones, salvo que pudieran suponer un impacto sobre los bienes declarados de interés cultural o sujetos a cualq</w:t>
      </w:r>
      <w:r w:rsidR="00EA25EA">
        <w:rPr>
          <w:rFonts w:ascii="Times New Roman" w:eastAsia="Times New Roman" w:hAnsi="Times New Roman" w:cs="Times New Roman"/>
          <w:sz w:val="24"/>
          <w:szCs w:val="20"/>
          <w:lang w:eastAsia="es-ES"/>
        </w:rPr>
        <w:t>uier otro régimen de protección.</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P) COMUNIDAD DE MADRID</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t xml:space="preserve">- </w:t>
      </w:r>
      <w:r w:rsidRPr="00622642">
        <w:rPr>
          <w:rFonts w:ascii="Times New Roman" w:eastAsia="Times New Roman" w:hAnsi="Times New Roman" w:cs="Times New Roman"/>
          <w:b/>
          <w:sz w:val="24"/>
          <w:szCs w:val="20"/>
          <w:u w:val="single"/>
          <w:lang w:eastAsia="es-ES"/>
        </w:rPr>
        <w:t xml:space="preserve">Decreto </w:t>
      </w:r>
      <w:r w:rsidR="00EA25EA">
        <w:rPr>
          <w:rFonts w:ascii="Times New Roman" w:eastAsia="Times New Roman" w:hAnsi="Times New Roman" w:cs="Times New Roman"/>
          <w:b/>
          <w:sz w:val="24"/>
          <w:szCs w:val="20"/>
          <w:u w:val="single"/>
          <w:lang w:eastAsia="es-ES"/>
        </w:rPr>
        <w:t>7</w:t>
      </w:r>
      <w:r w:rsidRPr="00622642">
        <w:rPr>
          <w:rFonts w:ascii="Times New Roman" w:eastAsia="Times New Roman" w:hAnsi="Times New Roman" w:cs="Times New Roman"/>
          <w:b/>
          <w:sz w:val="24"/>
          <w:szCs w:val="20"/>
          <w:u w:val="single"/>
          <w:lang w:eastAsia="es-ES"/>
        </w:rPr>
        <w:t xml:space="preserve">/2021, de </w:t>
      </w:r>
      <w:r w:rsidR="00EA25EA">
        <w:rPr>
          <w:rFonts w:ascii="Times New Roman" w:eastAsia="Times New Roman" w:hAnsi="Times New Roman" w:cs="Times New Roman"/>
          <w:b/>
          <w:sz w:val="24"/>
          <w:szCs w:val="20"/>
          <w:u w:val="single"/>
          <w:lang w:eastAsia="es-ES"/>
        </w:rPr>
        <w:t>27</w:t>
      </w:r>
      <w:r w:rsidRPr="00622642">
        <w:rPr>
          <w:rFonts w:ascii="Times New Roman" w:eastAsia="Times New Roman" w:hAnsi="Times New Roman" w:cs="Times New Roman"/>
          <w:b/>
          <w:sz w:val="24"/>
          <w:szCs w:val="20"/>
          <w:u w:val="single"/>
          <w:lang w:eastAsia="es-ES"/>
        </w:rPr>
        <w:t xml:space="preserve"> de enero, del Consejo de Gobierno, por el que se</w:t>
      </w:r>
      <w:r w:rsidR="00EA25EA">
        <w:rPr>
          <w:rFonts w:ascii="Times New Roman" w:eastAsia="Times New Roman" w:hAnsi="Times New Roman" w:cs="Times New Roman"/>
          <w:b/>
          <w:sz w:val="24"/>
          <w:szCs w:val="20"/>
          <w:u w:val="single"/>
          <w:lang w:eastAsia="es-ES"/>
        </w:rPr>
        <w:t xml:space="preserve"> aprueba el Reglamento de Vías pecuarias de la Comunidad de Madrid</w:t>
      </w:r>
      <w:r w:rsidRPr="00622642">
        <w:rPr>
          <w:rFonts w:ascii="Times New Roman" w:eastAsia="Times New Roman" w:hAnsi="Times New Roman" w:cs="Times New Roman"/>
          <w:sz w:val="24"/>
          <w:szCs w:val="20"/>
          <w:lang w:eastAsia="es-ES"/>
        </w:rPr>
        <w:t xml:space="preserve">. (BOCM núm. </w:t>
      </w:r>
      <w:r w:rsidR="00EA25EA">
        <w:rPr>
          <w:rFonts w:ascii="Times New Roman" w:eastAsia="Times New Roman" w:hAnsi="Times New Roman" w:cs="Times New Roman"/>
          <w:sz w:val="24"/>
          <w:szCs w:val="20"/>
          <w:lang w:eastAsia="es-ES"/>
        </w:rPr>
        <w:t>26</w:t>
      </w:r>
      <w:r w:rsidRPr="00622642">
        <w:rPr>
          <w:rFonts w:ascii="Times New Roman" w:eastAsia="Times New Roman" w:hAnsi="Times New Roman" w:cs="Times New Roman"/>
          <w:sz w:val="24"/>
          <w:szCs w:val="20"/>
          <w:lang w:eastAsia="es-ES"/>
        </w:rPr>
        <w:t xml:space="preserve">, de </w:t>
      </w:r>
      <w:r w:rsidR="00B7548E">
        <w:rPr>
          <w:rFonts w:ascii="Times New Roman" w:eastAsia="Times New Roman" w:hAnsi="Times New Roman" w:cs="Times New Roman"/>
          <w:sz w:val="24"/>
          <w:szCs w:val="20"/>
          <w:lang w:eastAsia="es-ES"/>
        </w:rPr>
        <w:t>1</w:t>
      </w:r>
      <w:r w:rsidRPr="00622642">
        <w:rPr>
          <w:rFonts w:ascii="Times New Roman" w:eastAsia="Times New Roman" w:hAnsi="Times New Roman" w:cs="Times New Roman"/>
          <w:sz w:val="24"/>
          <w:szCs w:val="20"/>
          <w:lang w:eastAsia="es-ES"/>
        </w:rPr>
        <w:t xml:space="preserve"> de </w:t>
      </w:r>
      <w:r w:rsidR="00B7548E">
        <w:rPr>
          <w:rFonts w:ascii="Times New Roman" w:eastAsia="Times New Roman" w:hAnsi="Times New Roman" w:cs="Times New Roman"/>
          <w:sz w:val="24"/>
          <w:szCs w:val="20"/>
          <w:lang w:eastAsia="es-ES"/>
        </w:rPr>
        <w:t>febrero</w:t>
      </w:r>
      <w:r w:rsidRPr="00622642">
        <w:rPr>
          <w:rFonts w:ascii="Times New Roman" w:eastAsia="Times New Roman" w:hAnsi="Times New Roman" w:cs="Times New Roman"/>
          <w:sz w:val="24"/>
          <w:szCs w:val="20"/>
          <w:lang w:eastAsia="es-ES"/>
        </w:rPr>
        <w:t>).</w:t>
      </w:r>
    </w:p>
    <w:p w:rsidR="008E0D50" w:rsidRDefault="00EC3ED6" w:rsidP="00622642">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Si bien este decreto no deja de ser una norma reguladora del régimen</w:t>
      </w:r>
      <w:r w:rsidR="00F1029F">
        <w:rPr>
          <w:rFonts w:ascii="Times New Roman" w:eastAsia="Times New Roman" w:hAnsi="Times New Roman" w:cs="Times New Roman"/>
          <w:sz w:val="24"/>
          <w:szCs w:val="20"/>
          <w:lang w:eastAsia="es-ES"/>
        </w:rPr>
        <w:t xml:space="preserve"> específico de gestión, protección, mantenimiento y uso racional</w:t>
      </w:r>
      <w:r>
        <w:rPr>
          <w:rFonts w:ascii="Times New Roman" w:eastAsia="Times New Roman" w:hAnsi="Times New Roman" w:cs="Times New Roman"/>
          <w:sz w:val="24"/>
          <w:szCs w:val="20"/>
          <w:lang w:eastAsia="es-ES"/>
        </w:rPr>
        <w:t xml:space="preserve"> de un bien de dominio público, merece detenerse en algunos aspectos de la regulación que tienen relación con el urbanismo y la ordenación del territorio.</w:t>
      </w:r>
    </w:p>
    <w:p w:rsidR="00F1029F" w:rsidRPr="00F1029F" w:rsidRDefault="00F1029F" w:rsidP="00F1029F">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art. </w:t>
      </w:r>
      <w:r w:rsidRPr="00F1029F">
        <w:rPr>
          <w:rFonts w:ascii="Times New Roman" w:eastAsia="Times New Roman" w:hAnsi="Times New Roman" w:cs="Times New Roman"/>
          <w:sz w:val="24"/>
          <w:szCs w:val="20"/>
          <w:lang w:eastAsia="es-ES"/>
        </w:rPr>
        <w:t>26</w:t>
      </w:r>
      <w:r>
        <w:rPr>
          <w:rFonts w:ascii="Times New Roman" w:eastAsia="Times New Roman" w:hAnsi="Times New Roman" w:cs="Times New Roman"/>
          <w:sz w:val="24"/>
          <w:szCs w:val="20"/>
          <w:lang w:eastAsia="es-ES"/>
        </w:rPr>
        <w:t xml:space="preserve"> del decreto regula el </w:t>
      </w:r>
      <w:r w:rsidRPr="00A35D1D">
        <w:rPr>
          <w:rFonts w:ascii="Times New Roman" w:eastAsia="Times New Roman" w:hAnsi="Times New Roman" w:cs="Times New Roman"/>
          <w:b/>
          <w:sz w:val="24"/>
          <w:szCs w:val="20"/>
          <w:u w:val="single"/>
          <w:lang w:eastAsia="es-ES"/>
        </w:rPr>
        <w:t>cruce de vías pecuarias por una obra pública.</w:t>
      </w:r>
      <w:r>
        <w:rPr>
          <w:rFonts w:ascii="Times New Roman" w:eastAsia="Times New Roman" w:hAnsi="Times New Roman" w:cs="Times New Roman"/>
          <w:sz w:val="24"/>
          <w:szCs w:val="20"/>
          <w:lang w:eastAsia="es-ES"/>
        </w:rPr>
        <w:t xml:space="preserve"> En este sentido distingue:</w:t>
      </w:r>
    </w:p>
    <w:p w:rsidR="00F1029F" w:rsidRPr="00F1029F" w:rsidRDefault="00F1029F" w:rsidP="00F1029F">
      <w:pPr>
        <w:pStyle w:val="Prrafodelista"/>
        <w:numPr>
          <w:ilvl w:val="0"/>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Si</w:t>
      </w:r>
      <w:r>
        <w:rPr>
          <w:rFonts w:ascii="Times New Roman" w:eastAsia="Times New Roman" w:hAnsi="Times New Roman" w:cs="Times New Roman"/>
          <w:sz w:val="24"/>
          <w:szCs w:val="20"/>
          <w:lang w:eastAsia="es-ES"/>
        </w:rPr>
        <w:t xml:space="preserve"> l</w:t>
      </w:r>
      <w:r w:rsidRPr="00F1029F">
        <w:rPr>
          <w:rFonts w:ascii="Times New Roman" w:eastAsia="Times New Roman" w:hAnsi="Times New Roman" w:cs="Times New Roman"/>
          <w:sz w:val="24"/>
          <w:szCs w:val="20"/>
          <w:lang w:eastAsia="es-ES"/>
        </w:rPr>
        <w:t>a obra a realizar consist</w:t>
      </w:r>
      <w:r>
        <w:rPr>
          <w:rFonts w:ascii="Times New Roman" w:eastAsia="Times New Roman" w:hAnsi="Times New Roman" w:cs="Times New Roman"/>
          <w:sz w:val="24"/>
          <w:szCs w:val="20"/>
          <w:lang w:eastAsia="es-ES"/>
        </w:rPr>
        <w:t>e</w:t>
      </w:r>
      <w:r w:rsidRPr="00F1029F">
        <w:rPr>
          <w:rFonts w:ascii="Times New Roman" w:eastAsia="Times New Roman" w:hAnsi="Times New Roman" w:cs="Times New Roman"/>
          <w:sz w:val="24"/>
          <w:szCs w:val="20"/>
          <w:lang w:eastAsia="es-ES"/>
        </w:rPr>
        <w:t xml:space="preserve"> en </w:t>
      </w:r>
      <w:r w:rsidRPr="00A35D1D">
        <w:rPr>
          <w:rFonts w:ascii="Times New Roman" w:eastAsia="Times New Roman" w:hAnsi="Times New Roman" w:cs="Times New Roman"/>
          <w:sz w:val="24"/>
          <w:szCs w:val="20"/>
          <w:u w:val="single"/>
          <w:lang w:eastAsia="es-ES"/>
        </w:rPr>
        <w:t>líneas férreas o carreteras</w:t>
      </w:r>
      <w:r>
        <w:rPr>
          <w:rFonts w:ascii="Times New Roman" w:eastAsia="Times New Roman" w:hAnsi="Times New Roman" w:cs="Times New Roman"/>
          <w:sz w:val="24"/>
          <w:szCs w:val="20"/>
          <w:lang w:eastAsia="es-ES"/>
        </w:rPr>
        <w:t xml:space="preserve"> que solamente crucen</w:t>
      </w:r>
      <w:r w:rsidRPr="00F1029F">
        <w:rPr>
          <w:rFonts w:ascii="Times New Roman" w:eastAsia="Times New Roman" w:hAnsi="Times New Roman" w:cs="Times New Roman"/>
          <w:sz w:val="24"/>
          <w:szCs w:val="20"/>
          <w:lang w:eastAsia="es-ES"/>
        </w:rPr>
        <w:t xml:space="preserve"> la vía pecuaria, no será necesario proceder a la modificación de</w:t>
      </w:r>
      <w:r>
        <w:rPr>
          <w:rFonts w:ascii="Times New Roman" w:eastAsia="Times New Roman" w:hAnsi="Times New Roman" w:cs="Times New Roman"/>
          <w:sz w:val="24"/>
          <w:szCs w:val="20"/>
          <w:lang w:eastAsia="es-ES"/>
        </w:rPr>
        <w:t xml:space="preserve"> su</w:t>
      </w:r>
      <w:r w:rsidRPr="00F1029F">
        <w:rPr>
          <w:rFonts w:ascii="Times New Roman" w:eastAsia="Times New Roman" w:hAnsi="Times New Roman" w:cs="Times New Roman"/>
          <w:sz w:val="24"/>
          <w:szCs w:val="20"/>
          <w:lang w:eastAsia="es-ES"/>
        </w:rPr>
        <w:t xml:space="preserve"> trazado</w:t>
      </w:r>
      <w:r>
        <w:rPr>
          <w:rFonts w:ascii="Times New Roman" w:eastAsia="Times New Roman" w:hAnsi="Times New Roman" w:cs="Times New Roman"/>
          <w:sz w:val="24"/>
          <w:szCs w:val="20"/>
          <w:lang w:eastAsia="es-ES"/>
        </w:rPr>
        <w:t xml:space="preserve">, sin perjuicio de que </w:t>
      </w:r>
      <w:r w:rsidRPr="00F1029F">
        <w:rPr>
          <w:rFonts w:ascii="Times New Roman" w:eastAsia="Times New Roman" w:hAnsi="Times New Roman" w:cs="Times New Roman"/>
          <w:sz w:val="24"/>
          <w:szCs w:val="20"/>
          <w:lang w:eastAsia="es-ES"/>
        </w:rPr>
        <w:t>la Administración promotora de la obra o el concesionario, en su caso, deb</w:t>
      </w:r>
      <w:r>
        <w:rPr>
          <w:rFonts w:ascii="Times New Roman" w:eastAsia="Times New Roman" w:hAnsi="Times New Roman" w:cs="Times New Roman"/>
          <w:sz w:val="24"/>
          <w:szCs w:val="20"/>
          <w:lang w:eastAsia="es-ES"/>
        </w:rPr>
        <w:t>an</w:t>
      </w:r>
      <w:r w:rsidRPr="00F1029F">
        <w:rPr>
          <w:rFonts w:ascii="Times New Roman" w:eastAsia="Times New Roman" w:hAnsi="Times New Roman" w:cs="Times New Roman"/>
          <w:sz w:val="24"/>
          <w:szCs w:val="20"/>
          <w:lang w:eastAsia="es-ES"/>
        </w:rPr>
        <w:t xml:space="preserve"> habilitar los pasos necesarios, al mismo o distinto nivel que garanticen el tránsito ganadero y los demás usos de la vía en condiciones de rapidez, comodidad y seguridad.</w:t>
      </w:r>
    </w:p>
    <w:p w:rsidR="00F1029F" w:rsidRPr="00F1029F" w:rsidRDefault="00F1029F" w:rsidP="00F1029F">
      <w:pPr>
        <w:pStyle w:val="Prrafodelista"/>
        <w:numPr>
          <w:ilvl w:val="0"/>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 xml:space="preserve">Los </w:t>
      </w:r>
      <w:r w:rsidRPr="00A35D1D">
        <w:rPr>
          <w:rFonts w:ascii="Times New Roman" w:eastAsia="Times New Roman" w:hAnsi="Times New Roman" w:cs="Times New Roman"/>
          <w:sz w:val="24"/>
          <w:szCs w:val="20"/>
          <w:u w:val="single"/>
          <w:lang w:eastAsia="es-ES"/>
        </w:rPr>
        <w:t>cruces al mismo nivel de vía pecuaria con viales rodados</w:t>
      </w:r>
      <w:r w:rsidRPr="00F1029F">
        <w:rPr>
          <w:rFonts w:ascii="Times New Roman" w:eastAsia="Times New Roman" w:hAnsi="Times New Roman" w:cs="Times New Roman"/>
          <w:sz w:val="24"/>
          <w:szCs w:val="20"/>
          <w:lang w:eastAsia="es-ES"/>
        </w:rPr>
        <w:t xml:space="preserve"> sólo podrán realizarse en los cascos urbanos o cuando las condiciones de seguridad vial lo permitan en una carretera de un sólo carril por sentido.</w:t>
      </w:r>
    </w:p>
    <w:p w:rsidR="00F1029F" w:rsidRPr="00F1029F" w:rsidRDefault="00F1029F" w:rsidP="00F1029F">
      <w:pPr>
        <w:pStyle w:val="Prrafodelista"/>
        <w:spacing w:before="120" w:after="0" w:line="360" w:lineRule="auto"/>
        <w:ind w:left="106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w:t>
      </w:r>
      <w:r w:rsidRPr="00F1029F">
        <w:rPr>
          <w:rFonts w:ascii="Times New Roman" w:eastAsia="Times New Roman" w:hAnsi="Times New Roman" w:cs="Times New Roman"/>
          <w:sz w:val="24"/>
          <w:szCs w:val="20"/>
          <w:lang w:eastAsia="es-ES"/>
        </w:rPr>
        <w:t>a señalización de los cruces al mismo nivel tendrá que cumplir las siguientes especificaciones:</w:t>
      </w:r>
    </w:p>
    <w:p w:rsidR="00F1029F" w:rsidRPr="00F1029F" w:rsidRDefault="00F1029F" w:rsidP="00F1029F">
      <w:pPr>
        <w:pStyle w:val="Prrafodelista"/>
        <w:numPr>
          <w:ilvl w:val="1"/>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En zona urbana: la calzada en la zona de cruce será de textura diferente no asfáltica.</w:t>
      </w:r>
    </w:p>
    <w:p w:rsidR="00F1029F" w:rsidRPr="00F1029F" w:rsidRDefault="00F1029F" w:rsidP="00F1029F">
      <w:pPr>
        <w:pStyle w:val="Prrafodelista"/>
        <w:numPr>
          <w:ilvl w:val="1"/>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 xml:space="preserve">En zona no urbana: la calzada </w:t>
      </w:r>
      <w:r>
        <w:rPr>
          <w:rFonts w:ascii="Times New Roman" w:eastAsia="Times New Roman" w:hAnsi="Times New Roman" w:cs="Times New Roman"/>
          <w:sz w:val="24"/>
          <w:szCs w:val="20"/>
          <w:lang w:eastAsia="es-ES"/>
        </w:rPr>
        <w:t>estará</w:t>
      </w:r>
      <w:r w:rsidRPr="00F1029F">
        <w:rPr>
          <w:rFonts w:ascii="Times New Roman" w:eastAsia="Times New Roman" w:hAnsi="Times New Roman" w:cs="Times New Roman"/>
          <w:sz w:val="24"/>
          <w:szCs w:val="20"/>
          <w:lang w:eastAsia="es-ES"/>
        </w:rPr>
        <w:t xml:space="preserve"> diferenciada y contar</w:t>
      </w:r>
      <w:r>
        <w:rPr>
          <w:rFonts w:ascii="Times New Roman" w:eastAsia="Times New Roman" w:hAnsi="Times New Roman" w:cs="Times New Roman"/>
          <w:sz w:val="24"/>
          <w:szCs w:val="20"/>
          <w:lang w:eastAsia="es-ES"/>
        </w:rPr>
        <w:t>á</w:t>
      </w:r>
      <w:r w:rsidRPr="00F1029F">
        <w:rPr>
          <w:rFonts w:ascii="Times New Roman" w:eastAsia="Times New Roman" w:hAnsi="Times New Roman" w:cs="Times New Roman"/>
          <w:sz w:val="24"/>
          <w:szCs w:val="20"/>
          <w:lang w:eastAsia="es-ES"/>
        </w:rPr>
        <w:t xml:space="preserve"> con señalización tanto horizontal como vertical de "Paso de Ganado" en la forma prevista en la legislación de seguridad vial y el Código de Circulación. Además, en los casos necesarios y por motivos de seguridad, deberán instalarse bandas sonoras de reducción de velocidad perpendiculares al eje de la calzada avisando a los </w:t>
      </w:r>
      <w:r w:rsidRPr="00F1029F">
        <w:rPr>
          <w:rFonts w:ascii="Times New Roman" w:eastAsia="Times New Roman" w:hAnsi="Times New Roman" w:cs="Times New Roman"/>
          <w:sz w:val="24"/>
          <w:szCs w:val="20"/>
          <w:lang w:eastAsia="es-ES"/>
        </w:rPr>
        <w:lastRenderedPageBreak/>
        <w:t>conductores de la presencia de la intersección de la carretera con la vía pecuaria.</w:t>
      </w:r>
    </w:p>
    <w:p w:rsidR="00F1029F" w:rsidRPr="00F1029F" w:rsidRDefault="00F1029F" w:rsidP="00F1029F">
      <w:pPr>
        <w:pStyle w:val="Prrafodelista"/>
        <w:numPr>
          <w:ilvl w:val="0"/>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 xml:space="preserve">Cuando el trazado de la vía pecuaria esté interrumpido por </w:t>
      </w:r>
      <w:r w:rsidRPr="00A35D1D">
        <w:rPr>
          <w:rFonts w:ascii="Times New Roman" w:eastAsia="Times New Roman" w:hAnsi="Times New Roman" w:cs="Times New Roman"/>
          <w:sz w:val="24"/>
          <w:szCs w:val="20"/>
          <w:u w:val="single"/>
          <w:lang w:eastAsia="es-ES"/>
        </w:rPr>
        <w:t>rotondas</w:t>
      </w:r>
      <w:r w:rsidRPr="00F1029F">
        <w:rPr>
          <w:rFonts w:ascii="Times New Roman" w:eastAsia="Times New Roman" w:hAnsi="Times New Roman" w:cs="Times New Roman"/>
          <w:sz w:val="24"/>
          <w:szCs w:val="20"/>
          <w:lang w:eastAsia="es-ES"/>
        </w:rPr>
        <w:t>, se habilitará un paso de 12 metros, salvo casos excepcionales, debidamente motivados, que requerirán la previa conformidad de la dirección general competente en materia de Vías Pecuarias. El paso deberá estar fuera de la zona asfaltada, bordeando la misma y con estructuras que impidan que los vehículos invadan la vía pecuaria. Los cruces de la vía pecuaria con el viario rodado, se señalizarán según lo indicado.</w:t>
      </w:r>
    </w:p>
    <w:p w:rsidR="00F1029F" w:rsidRPr="00F1029F" w:rsidRDefault="00F1029F" w:rsidP="00A35D1D">
      <w:pPr>
        <w:pStyle w:val="Prrafodelista"/>
        <w:numPr>
          <w:ilvl w:val="0"/>
          <w:numId w:val="27"/>
        </w:numPr>
        <w:spacing w:before="120" w:after="0" w:line="360" w:lineRule="auto"/>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 xml:space="preserve">Los </w:t>
      </w:r>
      <w:r w:rsidRPr="00A35D1D">
        <w:rPr>
          <w:rFonts w:ascii="Times New Roman" w:eastAsia="Times New Roman" w:hAnsi="Times New Roman" w:cs="Times New Roman"/>
          <w:sz w:val="24"/>
          <w:szCs w:val="20"/>
          <w:u w:val="single"/>
          <w:lang w:eastAsia="es-ES"/>
        </w:rPr>
        <w:t>cruces a distinto nivel</w:t>
      </w:r>
      <w:r w:rsidRPr="00F1029F">
        <w:rPr>
          <w:rFonts w:ascii="Times New Roman" w:eastAsia="Times New Roman" w:hAnsi="Times New Roman" w:cs="Times New Roman"/>
          <w:sz w:val="24"/>
          <w:szCs w:val="20"/>
          <w:lang w:eastAsia="es-ES"/>
        </w:rPr>
        <w:t xml:space="preserve"> </w:t>
      </w:r>
      <w:r w:rsidR="00A35D1D">
        <w:rPr>
          <w:rFonts w:ascii="Times New Roman" w:eastAsia="Times New Roman" w:hAnsi="Times New Roman" w:cs="Times New Roman"/>
          <w:sz w:val="24"/>
          <w:szCs w:val="20"/>
          <w:lang w:eastAsia="es-ES"/>
        </w:rPr>
        <w:t>son</w:t>
      </w:r>
      <w:r w:rsidRPr="00F1029F">
        <w:rPr>
          <w:rFonts w:ascii="Times New Roman" w:eastAsia="Times New Roman" w:hAnsi="Times New Roman" w:cs="Times New Roman"/>
          <w:sz w:val="24"/>
          <w:szCs w:val="20"/>
          <w:lang w:eastAsia="es-ES"/>
        </w:rPr>
        <w:t xml:space="preserve"> obligatorios en las carreteras de más de un carril por sentido. El paso habilitado tendrá una dimensión de anchura mínima de 12 metros y gálibo vertical mínimo de 5 metros, salvo casos excepcionales, debidamente motivados, que requerirán la previa conformidad de la dirección general competente en materia de Vías Pecuarias.</w:t>
      </w:r>
    </w:p>
    <w:p w:rsidR="00A35D1D" w:rsidRDefault="00F1029F" w:rsidP="00F1029F">
      <w:pPr>
        <w:spacing w:before="120" w:after="0" w:line="360" w:lineRule="auto"/>
        <w:ind w:firstLine="709"/>
        <w:jc w:val="both"/>
        <w:rPr>
          <w:rFonts w:ascii="Times New Roman" w:eastAsia="Times New Roman" w:hAnsi="Times New Roman" w:cs="Times New Roman"/>
          <w:sz w:val="24"/>
          <w:szCs w:val="20"/>
          <w:lang w:eastAsia="es-ES"/>
        </w:rPr>
      </w:pPr>
      <w:r w:rsidRPr="00F1029F">
        <w:rPr>
          <w:rFonts w:ascii="Times New Roman" w:eastAsia="Times New Roman" w:hAnsi="Times New Roman" w:cs="Times New Roman"/>
          <w:sz w:val="24"/>
          <w:szCs w:val="20"/>
          <w:lang w:eastAsia="es-ES"/>
        </w:rPr>
        <w:t xml:space="preserve">Los cruces con las vías de comunicación </w:t>
      </w:r>
      <w:r w:rsidR="00A35D1D">
        <w:rPr>
          <w:rFonts w:ascii="Times New Roman" w:eastAsia="Times New Roman" w:hAnsi="Times New Roman" w:cs="Times New Roman"/>
          <w:sz w:val="24"/>
          <w:szCs w:val="20"/>
          <w:lang w:eastAsia="es-ES"/>
        </w:rPr>
        <w:t>deben estar</w:t>
      </w:r>
      <w:r w:rsidRPr="00F1029F">
        <w:rPr>
          <w:rFonts w:ascii="Times New Roman" w:eastAsia="Times New Roman" w:hAnsi="Times New Roman" w:cs="Times New Roman"/>
          <w:sz w:val="24"/>
          <w:szCs w:val="20"/>
          <w:lang w:eastAsia="es-ES"/>
        </w:rPr>
        <w:t xml:space="preserve"> señalizados verticalmente con el texto "</w:t>
      </w:r>
      <w:r w:rsidRPr="00A35D1D">
        <w:rPr>
          <w:rFonts w:ascii="Times New Roman" w:eastAsia="Times New Roman" w:hAnsi="Times New Roman" w:cs="Times New Roman"/>
          <w:i/>
          <w:sz w:val="24"/>
          <w:szCs w:val="20"/>
          <w:lang w:eastAsia="es-ES"/>
        </w:rPr>
        <w:t>Vía pecuaria paso habilitado</w:t>
      </w:r>
      <w:r w:rsidRPr="00F1029F">
        <w:rPr>
          <w:rFonts w:ascii="Times New Roman" w:eastAsia="Times New Roman" w:hAnsi="Times New Roman" w:cs="Times New Roman"/>
          <w:sz w:val="24"/>
          <w:szCs w:val="20"/>
          <w:lang w:eastAsia="es-ES"/>
        </w:rPr>
        <w:t>"</w:t>
      </w:r>
      <w:r w:rsidR="00A35D1D">
        <w:rPr>
          <w:rFonts w:ascii="Times New Roman" w:eastAsia="Times New Roman" w:hAnsi="Times New Roman" w:cs="Times New Roman"/>
          <w:sz w:val="24"/>
          <w:szCs w:val="20"/>
          <w:lang w:eastAsia="es-ES"/>
        </w:rPr>
        <w:t>.</w:t>
      </w:r>
    </w:p>
    <w:p w:rsidR="008E0D50" w:rsidRPr="008E0D50" w:rsidRDefault="008E0D50" w:rsidP="008E0D50">
      <w:pPr>
        <w:spacing w:before="120" w:after="0" w:line="360" w:lineRule="auto"/>
        <w:ind w:firstLine="709"/>
        <w:jc w:val="both"/>
        <w:rPr>
          <w:rFonts w:ascii="Times New Roman" w:eastAsia="Times New Roman" w:hAnsi="Times New Roman" w:cs="Times New Roman"/>
          <w:b/>
          <w:sz w:val="24"/>
          <w:szCs w:val="20"/>
          <w:lang w:eastAsia="es-ES"/>
        </w:rPr>
      </w:pPr>
      <w:r w:rsidRPr="008E0D50">
        <w:rPr>
          <w:rFonts w:ascii="Times New Roman" w:eastAsia="Times New Roman" w:hAnsi="Times New Roman" w:cs="Times New Roman"/>
          <w:b/>
          <w:sz w:val="24"/>
          <w:szCs w:val="20"/>
          <w:lang w:eastAsia="es-ES"/>
        </w:rPr>
        <w:t>Q) CASTILLA Y LEÓN</w:t>
      </w:r>
    </w:p>
    <w:p w:rsidR="00A35D1D" w:rsidRPr="00A35D1D" w:rsidRDefault="00A35D1D" w:rsidP="00A35D1D">
      <w:pPr>
        <w:spacing w:before="120" w:after="0" w:line="360" w:lineRule="auto"/>
        <w:ind w:firstLine="709"/>
        <w:jc w:val="both"/>
        <w:rPr>
          <w:rFonts w:ascii="Times New Roman" w:eastAsia="Times New Roman" w:hAnsi="Times New Roman" w:cs="Times New Roman"/>
          <w:sz w:val="24"/>
          <w:szCs w:val="20"/>
          <w:lang w:eastAsia="es-ES"/>
        </w:rPr>
      </w:pPr>
      <w:r w:rsidRPr="00A35D1D">
        <w:rPr>
          <w:rFonts w:ascii="Times New Roman" w:eastAsia="Times New Roman" w:hAnsi="Times New Roman" w:cs="Times New Roman"/>
          <w:sz w:val="24"/>
          <w:szCs w:val="20"/>
          <w:lang w:eastAsia="es-ES"/>
        </w:rPr>
        <w:t xml:space="preserve">- </w:t>
      </w:r>
      <w:r w:rsidRPr="00A35D1D">
        <w:rPr>
          <w:rFonts w:ascii="Times New Roman" w:eastAsia="Times New Roman" w:hAnsi="Times New Roman" w:cs="Times New Roman"/>
          <w:b/>
          <w:sz w:val="24"/>
          <w:szCs w:val="20"/>
          <w:u w:val="single"/>
          <w:lang w:eastAsia="es-ES"/>
        </w:rPr>
        <w:t>Ley 1/2021, de 22 de febrero, de Medidas Tributarias, Financieras y Administrativas</w:t>
      </w:r>
      <w:r w:rsidRPr="00A35D1D">
        <w:rPr>
          <w:rFonts w:ascii="Times New Roman" w:eastAsia="Times New Roman" w:hAnsi="Times New Roman" w:cs="Times New Roman"/>
          <w:sz w:val="24"/>
          <w:szCs w:val="20"/>
          <w:lang w:eastAsia="es-ES"/>
        </w:rPr>
        <w:t>. (BOCYL núm. 39, de 25 de febrero).</w:t>
      </w:r>
    </w:p>
    <w:p w:rsidR="00A35D1D" w:rsidRDefault="00A35D1D" w:rsidP="00A35D1D">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De la panoplia de normas que modifica esta Ley merece destacar dos textos legales, aunque </w:t>
      </w:r>
      <w:r w:rsidR="00466428">
        <w:rPr>
          <w:rFonts w:ascii="Times New Roman" w:eastAsia="Times New Roman" w:hAnsi="Times New Roman" w:cs="Times New Roman"/>
          <w:sz w:val="24"/>
          <w:szCs w:val="20"/>
          <w:lang w:eastAsia="es-ES"/>
        </w:rPr>
        <w:t>la alteración respecto de lo dispuesto en el texto anteriormente vigente no es muy considerable.</w:t>
      </w:r>
    </w:p>
    <w:p w:rsidR="00A35D1D" w:rsidRDefault="00466428" w:rsidP="00A35D1D">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primer lugar, la Disposición final cuarta modifica el art. 12 de la Ley 5/2005, de 24 de mayo, de establecimiento de un régimen excepcional y transitorio para las explotaciones ganaderas en Castilla y León, para disponer que “</w:t>
      </w:r>
      <w:r w:rsidRPr="00466428">
        <w:rPr>
          <w:rFonts w:ascii="Times New Roman" w:eastAsia="Times New Roman" w:hAnsi="Times New Roman" w:cs="Times New Roman"/>
          <w:i/>
          <w:sz w:val="24"/>
          <w:szCs w:val="20"/>
          <w:lang w:eastAsia="es-ES"/>
        </w:rPr>
        <w:t>las licencias otorgadas conforme al procedimiento regulado en esta Ley tendrán vigencia hasta el 31 de diciembre de 2036. Estas licencias sólo podrán ser renovadas si durante dicho periodo de vigencia se hubiera obtenido licencia urbanística conforme a las determinaciones del planeamiento urbanístico vigente</w:t>
      </w:r>
      <w:r>
        <w:rPr>
          <w:rFonts w:ascii="Times New Roman" w:eastAsia="Times New Roman" w:hAnsi="Times New Roman" w:cs="Times New Roman"/>
          <w:sz w:val="24"/>
          <w:szCs w:val="20"/>
          <w:lang w:eastAsia="es-ES"/>
        </w:rPr>
        <w:t>”.</w:t>
      </w:r>
    </w:p>
    <w:p w:rsidR="00A35D1D" w:rsidRDefault="00466428" w:rsidP="00A35D1D">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Disposición final decimotercera modifica el artículo 58.2 de la Ley 9/2010, de 30 de agosto, en los términos siguientes:</w:t>
      </w:r>
    </w:p>
    <w:p w:rsidR="00A35D1D" w:rsidRPr="00466428" w:rsidRDefault="00466428" w:rsidP="00A35D1D">
      <w:pPr>
        <w:spacing w:before="120" w:after="0" w:line="360" w:lineRule="auto"/>
        <w:ind w:firstLine="709"/>
        <w:jc w:val="both"/>
        <w:rPr>
          <w:rFonts w:ascii="Times New Roman" w:eastAsia="Times New Roman" w:hAnsi="Times New Roman" w:cs="Times New Roman"/>
          <w:i/>
          <w:sz w:val="24"/>
          <w:szCs w:val="20"/>
          <w:lang w:eastAsia="es-ES"/>
        </w:rPr>
      </w:pPr>
      <w:r w:rsidRPr="00466428">
        <w:rPr>
          <w:rFonts w:ascii="Times New Roman" w:eastAsia="Times New Roman" w:hAnsi="Times New Roman" w:cs="Times New Roman"/>
          <w:i/>
          <w:sz w:val="24"/>
          <w:szCs w:val="20"/>
          <w:lang w:eastAsia="es-ES"/>
        </w:rPr>
        <w:lastRenderedPageBreak/>
        <w:t>“2. Tendrán la consideración de promoción pública las viviendas que sean promovidas por una administración pública o por entidades del sector público. Estas viviendas se destinarán a personas cuyos ingresos familiares corregidos no excedan de 3,5 veces el IPREM y cumplan los requisitos de acceso a una vivienda de protección pública señalados en el artículo 63 de esta Ley. El límite de ingresos será de 5 veces el IPREM en el caso de promociones destinadas a la venta”.</w:t>
      </w:r>
    </w:p>
    <w:p w:rsidR="008E0D50" w:rsidRDefault="00A35D1D" w:rsidP="00A35D1D">
      <w:pPr>
        <w:spacing w:before="120" w:after="0" w:line="360" w:lineRule="auto"/>
        <w:ind w:firstLine="709"/>
        <w:jc w:val="both"/>
        <w:rPr>
          <w:rFonts w:ascii="Times New Roman" w:eastAsia="Times New Roman" w:hAnsi="Times New Roman" w:cs="Times New Roman"/>
          <w:sz w:val="24"/>
          <w:szCs w:val="20"/>
          <w:lang w:eastAsia="es-ES"/>
        </w:rPr>
      </w:pPr>
      <w:r w:rsidRPr="00A35D1D">
        <w:rPr>
          <w:rFonts w:ascii="Times New Roman" w:eastAsia="Times New Roman" w:hAnsi="Times New Roman" w:cs="Times New Roman"/>
          <w:sz w:val="24"/>
          <w:szCs w:val="20"/>
          <w:lang w:eastAsia="es-ES"/>
        </w:rPr>
        <w:t xml:space="preserve">- </w:t>
      </w:r>
      <w:r w:rsidRPr="00A35D1D">
        <w:rPr>
          <w:rFonts w:ascii="Times New Roman" w:eastAsia="Times New Roman" w:hAnsi="Times New Roman" w:cs="Times New Roman"/>
          <w:b/>
          <w:sz w:val="24"/>
          <w:szCs w:val="20"/>
          <w:u w:val="single"/>
          <w:lang w:eastAsia="es-ES"/>
        </w:rPr>
        <w:t>Decreto 6/2021, de 11 de marzo, por el que se modifica el Reglamento de Urbanismo de Castilla y León en relación con la regulación de las actividades extractivas en suelo rústico</w:t>
      </w:r>
      <w:r w:rsidRPr="00A35D1D">
        <w:rPr>
          <w:rFonts w:ascii="Times New Roman" w:eastAsia="Times New Roman" w:hAnsi="Times New Roman" w:cs="Times New Roman"/>
          <w:sz w:val="24"/>
          <w:szCs w:val="20"/>
          <w:lang w:eastAsia="es-ES"/>
        </w:rPr>
        <w:t>. (BOCYL núm. 51, de 15 de marzo).</w:t>
      </w:r>
    </w:p>
    <w:p w:rsidR="00466428" w:rsidRPr="00466428" w:rsidRDefault="00466428" w:rsidP="00466428">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w:t>
      </w:r>
      <w:r w:rsidRPr="00466428">
        <w:rPr>
          <w:rFonts w:ascii="Times New Roman" w:eastAsia="Times New Roman" w:hAnsi="Times New Roman" w:cs="Times New Roman"/>
          <w:sz w:val="24"/>
          <w:szCs w:val="20"/>
          <w:lang w:eastAsia="es-ES"/>
        </w:rPr>
        <w:t xml:space="preserve"> Ley 5/1999, de 8 de abril, de Urbanismo de Castilla y León, </w:t>
      </w:r>
      <w:r>
        <w:rPr>
          <w:rFonts w:ascii="Times New Roman" w:eastAsia="Times New Roman" w:hAnsi="Times New Roman" w:cs="Times New Roman"/>
          <w:sz w:val="24"/>
          <w:szCs w:val="20"/>
          <w:lang w:eastAsia="es-ES"/>
        </w:rPr>
        <w:t xml:space="preserve">regula </w:t>
      </w:r>
      <w:r w:rsidRPr="00466428">
        <w:rPr>
          <w:rFonts w:ascii="Times New Roman" w:eastAsia="Times New Roman" w:hAnsi="Times New Roman" w:cs="Times New Roman"/>
          <w:sz w:val="24"/>
          <w:szCs w:val="20"/>
          <w:lang w:eastAsia="es-ES"/>
        </w:rPr>
        <w:t>los usos que pueden ser objeto de autorización excepcional en suelo rústico</w:t>
      </w:r>
      <w:r w:rsidR="00AE2690">
        <w:rPr>
          <w:rFonts w:ascii="Times New Roman" w:eastAsia="Times New Roman" w:hAnsi="Times New Roman" w:cs="Times New Roman"/>
          <w:sz w:val="24"/>
          <w:szCs w:val="20"/>
          <w:lang w:eastAsia="es-ES"/>
        </w:rPr>
        <w:t xml:space="preserve"> en el </w:t>
      </w:r>
      <w:r w:rsidR="00AE2690" w:rsidRPr="00466428">
        <w:rPr>
          <w:rFonts w:ascii="Times New Roman" w:eastAsia="Times New Roman" w:hAnsi="Times New Roman" w:cs="Times New Roman"/>
          <w:sz w:val="24"/>
          <w:szCs w:val="20"/>
          <w:lang w:eastAsia="es-ES"/>
        </w:rPr>
        <w:t>artículo 23</w:t>
      </w:r>
      <w:r w:rsidR="00AE2690">
        <w:rPr>
          <w:rFonts w:ascii="Times New Roman" w:eastAsia="Times New Roman" w:hAnsi="Times New Roman" w:cs="Times New Roman"/>
          <w:sz w:val="24"/>
          <w:szCs w:val="20"/>
          <w:lang w:eastAsia="es-ES"/>
        </w:rPr>
        <w:t>.2 y el art. 25.1</w:t>
      </w:r>
      <w:r w:rsidRPr="00466428">
        <w:rPr>
          <w:rFonts w:ascii="Times New Roman" w:eastAsia="Times New Roman" w:hAnsi="Times New Roman" w:cs="Times New Roman"/>
          <w:sz w:val="24"/>
          <w:szCs w:val="20"/>
          <w:lang w:eastAsia="es-ES"/>
        </w:rPr>
        <w:t xml:space="preserve"> </w:t>
      </w:r>
      <w:r w:rsidR="00AE2690">
        <w:rPr>
          <w:rFonts w:ascii="Times New Roman" w:eastAsia="Times New Roman" w:hAnsi="Times New Roman" w:cs="Times New Roman"/>
          <w:sz w:val="24"/>
          <w:szCs w:val="20"/>
          <w:lang w:eastAsia="es-ES"/>
        </w:rPr>
        <w:t xml:space="preserve">remite a desarrollo reglamentario la determinación concreta del régimen de autorización o prohibición de los usos </w:t>
      </w:r>
      <w:r w:rsidRPr="00466428">
        <w:rPr>
          <w:rFonts w:ascii="Times New Roman" w:eastAsia="Times New Roman" w:hAnsi="Times New Roman" w:cs="Times New Roman"/>
          <w:sz w:val="24"/>
          <w:szCs w:val="20"/>
          <w:lang w:eastAsia="es-ES"/>
        </w:rPr>
        <w:t>para cada categoría de suelo rústico.</w:t>
      </w:r>
    </w:p>
    <w:p w:rsidR="00466428" w:rsidRPr="00466428" w:rsidRDefault="00AE2690" w:rsidP="00466428">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D. F. primera de la</w:t>
      </w:r>
      <w:r w:rsidR="00466428" w:rsidRPr="00466428">
        <w:rPr>
          <w:rFonts w:ascii="Times New Roman" w:eastAsia="Times New Roman" w:hAnsi="Times New Roman" w:cs="Times New Roman"/>
          <w:sz w:val="24"/>
          <w:szCs w:val="20"/>
          <w:lang w:eastAsia="es-ES"/>
        </w:rPr>
        <w:t xml:space="preserve"> Ley 5/2019, de 19 de marzo, de Modificación de la Ley 5/1999, de 8 de abril, de Urbanismo de Castilla y León, </w:t>
      </w:r>
      <w:r>
        <w:rPr>
          <w:rFonts w:ascii="Times New Roman" w:eastAsia="Times New Roman" w:hAnsi="Times New Roman" w:cs="Times New Roman"/>
          <w:sz w:val="24"/>
          <w:szCs w:val="20"/>
          <w:lang w:eastAsia="es-ES"/>
        </w:rPr>
        <w:t xml:space="preserve">dispuso la obligación de adaptar el reglamento a esas modificaciones </w:t>
      </w:r>
      <w:r w:rsidR="00466428" w:rsidRPr="00466428">
        <w:rPr>
          <w:rFonts w:ascii="Times New Roman" w:eastAsia="Times New Roman" w:hAnsi="Times New Roman" w:cs="Times New Roman"/>
          <w:sz w:val="24"/>
          <w:szCs w:val="20"/>
          <w:lang w:eastAsia="es-ES"/>
        </w:rPr>
        <w:t>en un plazo de tres meses desde la entrada en vigor de esta ley.</w:t>
      </w:r>
    </w:p>
    <w:p w:rsidR="00466428" w:rsidRPr="00466428" w:rsidRDefault="00AE2690" w:rsidP="00466428">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Las modificaciones fundamentales son:</w:t>
      </w:r>
    </w:p>
    <w:p w:rsidR="00AE2690" w:rsidRDefault="00466428" w:rsidP="00AE2690">
      <w:pPr>
        <w:spacing w:before="120" w:after="0" w:line="360" w:lineRule="auto"/>
        <w:ind w:firstLine="709"/>
        <w:jc w:val="both"/>
        <w:rPr>
          <w:rFonts w:ascii="Times New Roman" w:eastAsia="Times New Roman" w:hAnsi="Times New Roman" w:cs="Times New Roman"/>
          <w:sz w:val="24"/>
          <w:szCs w:val="20"/>
          <w:lang w:eastAsia="es-ES"/>
        </w:rPr>
      </w:pPr>
      <w:r w:rsidRPr="00466428">
        <w:rPr>
          <w:rFonts w:ascii="Times New Roman" w:eastAsia="Times New Roman" w:hAnsi="Times New Roman" w:cs="Times New Roman"/>
          <w:sz w:val="24"/>
          <w:szCs w:val="20"/>
          <w:lang w:eastAsia="es-ES"/>
        </w:rPr>
        <w:t>En el artículo 57 se reproduce el cambio legal que divide las actividades extractivas en dos grupos, l</w:t>
      </w:r>
      <w:r w:rsidR="00AE2690">
        <w:rPr>
          <w:rFonts w:ascii="Times New Roman" w:eastAsia="Times New Roman" w:hAnsi="Times New Roman" w:cs="Times New Roman"/>
          <w:sz w:val="24"/>
          <w:szCs w:val="20"/>
          <w:lang w:eastAsia="es-ES"/>
        </w:rPr>
        <w:t>as a</w:t>
      </w:r>
      <w:r w:rsidR="00AE2690" w:rsidRPr="00AE2690">
        <w:rPr>
          <w:rFonts w:ascii="Times New Roman" w:eastAsia="Times New Roman" w:hAnsi="Times New Roman" w:cs="Times New Roman"/>
          <w:sz w:val="24"/>
          <w:szCs w:val="20"/>
          <w:lang w:eastAsia="es-ES"/>
        </w:rPr>
        <w:t>ctividades extractivas de rocas y minerales industriales, minería metálica, rocas ornamentales, productos de cantera y aguas minerales y termales, entendiendo incluidas las explotaciones mineras subterráneas y a cielo abierto, así como las construcciones e instalaciones vinculadas a su funcionamiento y al tratamiento in si</w:t>
      </w:r>
      <w:r w:rsidR="00AE2690">
        <w:rPr>
          <w:rFonts w:ascii="Times New Roman" w:eastAsia="Times New Roman" w:hAnsi="Times New Roman" w:cs="Times New Roman"/>
          <w:sz w:val="24"/>
          <w:szCs w:val="20"/>
          <w:lang w:eastAsia="es-ES"/>
        </w:rPr>
        <w:t>tu de la materia prima extraída; y la m</w:t>
      </w:r>
      <w:r w:rsidR="00AE2690" w:rsidRPr="00AE2690">
        <w:rPr>
          <w:rFonts w:ascii="Times New Roman" w:eastAsia="Times New Roman" w:hAnsi="Times New Roman" w:cs="Times New Roman"/>
          <w:sz w:val="24"/>
          <w:szCs w:val="20"/>
          <w:lang w:eastAsia="es-ES"/>
        </w:rPr>
        <w:t>inería energética y demás actividades extractivas no citadas en el apartado anterior, así como las construcciones e instalaciones vinculadas a las mismas.</w:t>
      </w:r>
      <w:r w:rsidR="00AE2690">
        <w:rPr>
          <w:rFonts w:ascii="Times New Roman" w:eastAsia="Times New Roman" w:hAnsi="Times New Roman" w:cs="Times New Roman"/>
          <w:sz w:val="24"/>
          <w:szCs w:val="20"/>
          <w:lang w:eastAsia="es-ES"/>
        </w:rPr>
        <w:t xml:space="preserve"> (letras b) y b) bis)</w:t>
      </w:r>
    </w:p>
    <w:p w:rsidR="00AE2690" w:rsidRPr="00AE2690" w:rsidRDefault="00466428" w:rsidP="00AE2690">
      <w:pPr>
        <w:spacing w:before="120" w:after="0" w:line="360" w:lineRule="auto"/>
        <w:ind w:firstLine="709"/>
        <w:jc w:val="both"/>
        <w:rPr>
          <w:rFonts w:ascii="Times New Roman" w:eastAsia="Times New Roman" w:hAnsi="Times New Roman" w:cs="Times New Roman"/>
          <w:sz w:val="24"/>
          <w:szCs w:val="20"/>
          <w:lang w:eastAsia="es-ES"/>
        </w:rPr>
      </w:pPr>
      <w:r w:rsidRPr="00466428">
        <w:rPr>
          <w:rFonts w:ascii="Times New Roman" w:eastAsia="Times New Roman" w:hAnsi="Times New Roman" w:cs="Times New Roman"/>
          <w:sz w:val="24"/>
          <w:szCs w:val="20"/>
          <w:lang w:eastAsia="es-ES"/>
        </w:rPr>
        <w:t>En el artículo 58</w:t>
      </w:r>
      <w:r w:rsidR="00AE2690">
        <w:rPr>
          <w:rFonts w:ascii="Times New Roman" w:eastAsia="Times New Roman" w:hAnsi="Times New Roman" w:cs="Times New Roman"/>
          <w:sz w:val="24"/>
          <w:szCs w:val="20"/>
          <w:lang w:eastAsia="es-ES"/>
        </w:rPr>
        <w:t>.</w:t>
      </w:r>
      <w:r w:rsidRPr="00466428">
        <w:rPr>
          <w:rFonts w:ascii="Times New Roman" w:eastAsia="Times New Roman" w:hAnsi="Times New Roman" w:cs="Times New Roman"/>
          <w:sz w:val="24"/>
          <w:szCs w:val="20"/>
          <w:lang w:eastAsia="es-ES"/>
        </w:rPr>
        <w:t>1.c) para trasladar el cambio legal relativo a la definición del concepto de usos prohibidos</w:t>
      </w:r>
      <w:r w:rsidR="00AE2690">
        <w:rPr>
          <w:rFonts w:ascii="Times New Roman" w:eastAsia="Times New Roman" w:hAnsi="Times New Roman" w:cs="Times New Roman"/>
          <w:sz w:val="24"/>
          <w:szCs w:val="20"/>
          <w:lang w:eastAsia="es-ES"/>
        </w:rPr>
        <w:t>, que son</w:t>
      </w:r>
      <w:r w:rsidR="00AE2690" w:rsidRPr="00AE2690">
        <w:rPr>
          <w:rFonts w:ascii="Times New Roman" w:eastAsia="Times New Roman" w:hAnsi="Times New Roman" w:cs="Times New Roman"/>
          <w:sz w:val="24"/>
          <w:szCs w:val="20"/>
          <w:lang w:eastAsia="es-ES"/>
        </w:rPr>
        <w:t xml:space="preserve"> los no relacionados como permitidos o sujetos a autorización en cada categoría de suelo rústico por resultar incompatibles con su régimen de protección; en particular, las actividades previstas en el apartado b bis) del artículo 57 serán usos prohibidos en los siguientes casos:</w:t>
      </w:r>
    </w:p>
    <w:p w:rsidR="00AE2690" w:rsidRPr="00AE2690" w:rsidRDefault="00AE2690" w:rsidP="00AE2690">
      <w:pPr>
        <w:spacing w:before="120" w:after="0" w:line="360" w:lineRule="auto"/>
        <w:ind w:firstLine="709"/>
        <w:jc w:val="both"/>
        <w:rPr>
          <w:rFonts w:ascii="Times New Roman" w:eastAsia="Times New Roman" w:hAnsi="Times New Roman" w:cs="Times New Roman"/>
          <w:sz w:val="24"/>
          <w:szCs w:val="20"/>
          <w:lang w:eastAsia="es-ES"/>
        </w:rPr>
      </w:pPr>
      <w:r w:rsidRPr="00AE2690">
        <w:rPr>
          <w:rFonts w:ascii="Times New Roman" w:eastAsia="Times New Roman" w:hAnsi="Times New Roman" w:cs="Times New Roman"/>
          <w:sz w:val="24"/>
          <w:szCs w:val="20"/>
          <w:lang w:eastAsia="es-ES"/>
        </w:rPr>
        <w:t>1. En los terrenos clasificados como suelo rústico con algún tipo de protección.</w:t>
      </w:r>
    </w:p>
    <w:p w:rsidR="00AE2690" w:rsidRPr="00AE2690" w:rsidRDefault="00AE2690" w:rsidP="00AE2690">
      <w:pPr>
        <w:spacing w:before="120" w:after="0" w:line="360" w:lineRule="auto"/>
        <w:ind w:firstLine="709"/>
        <w:jc w:val="both"/>
        <w:rPr>
          <w:rFonts w:ascii="Times New Roman" w:eastAsia="Times New Roman" w:hAnsi="Times New Roman" w:cs="Times New Roman"/>
          <w:sz w:val="24"/>
          <w:szCs w:val="20"/>
          <w:lang w:eastAsia="es-ES"/>
        </w:rPr>
      </w:pPr>
      <w:r w:rsidRPr="00AE2690">
        <w:rPr>
          <w:rFonts w:ascii="Times New Roman" w:eastAsia="Times New Roman" w:hAnsi="Times New Roman" w:cs="Times New Roman"/>
          <w:sz w:val="24"/>
          <w:szCs w:val="20"/>
          <w:lang w:eastAsia="es-ES"/>
        </w:rPr>
        <w:lastRenderedPageBreak/>
        <w:t>2. En los terrenos situados a una distancia al suelo urbano, inferior a la que se determine en el correspondiente procedimiento de evaluación de impacto ambiental.</w:t>
      </w:r>
    </w:p>
    <w:p w:rsidR="00466428" w:rsidRPr="00466428" w:rsidRDefault="00AE2690" w:rsidP="00AE2690">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Además, </w:t>
      </w:r>
      <w:r w:rsidRPr="00AE2690">
        <w:rPr>
          <w:rFonts w:ascii="Times New Roman" w:eastAsia="Times New Roman" w:hAnsi="Times New Roman" w:cs="Times New Roman"/>
          <w:sz w:val="24"/>
          <w:szCs w:val="20"/>
          <w:lang w:eastAsia="es-ES"/>
        </w:rPr>
        <w:t>en los Parques Regionales y Parques Naturales las actividades previstas en los apartados b) y b bis) del artículo 57 serán usos prohibidos, salvo en los ámbitos donde el plan de ordenación de los recursos naturales los declare autorizables.</w:t>
      </w:r>
    </w:p>
    <w:p w:rsidR="00466428" w:rsidRPr="00466428" w:rsidRDefault="00AE2690" w:rsidP="00466428">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Asimismo, el art. 60, relativo al régimen del suelo rústico de entorno urbano, prohíbe </w:t>
      </w:r>
      <w:r w:rsidRPr="00AE2690">
        <w:rPr>
          <w:rFonts w:ascii="Times New Roman" w:eastAsia="Times New Roman" w:hAnsi="Times New Roman" w:cs="Times New Roman"/>
          <w:sz w:val="24"/>
          <w:szCs w:val="20"/>
          <w:lang w:eastAsia="es-ES"/>
        </w:rPr>
        <w:t>todos los no citados en los artículos 56 y 57, y además los citados en las letras b), b bis) y e) del artículo 57.</w:t>
      </w:r>
    </w:p>
    <w:p w:rsidR="00AE2690" w:rsidRPr="00AE2690" w:rsidRDefault="00466428" w:rsidP="00AE2690">
      <w:pPr>
        <w:spacing w:before="120" w:after="0" w:line="360" w:lineRule="auto"/>
        <w:ind w:firstLine="709"/>
        <w:jc w:val="both"/>
        <w:rPr>
          <w:rFonts w:ascii="Times New Roman" w:eastAsia="Times New Roman" w:hAnsi="Times New Roman" w:cs="Times New Roman"/>
          <w:sz w:val="24"/>
          <w:szCs w:val="20"/>
          <w:lang w:eastAsia="es-ES"/>
        </w:rPr>
      </w:pPr>
      <w:r w:rsidRPr="00466428">
        <w:rPr>
          <w:rFonts w:ascii="Times New Roman" w:eastAsia="Times New Roman" w:hAnsi="Times New Roman" w:cs="Times New Roman"/>
          <w:sz w:val="24"/>
          <w:szCs w:val="20"/>
          <w:lang w:eastAsia="es-ES"/>
        </w:rPr>
        <w:t>En el artículo 61 ter</w:t>
      </w:r>
      <w:r w:rsidR="00AE2690">
        <w:rPr>
          <w:rFonts w:ascii="Times New Roman" w:eastAsia="Times New Roman" w:hAnsi="Times New Roman" w:cs="Times New Roman"/>
          <w:sz w:val="24"/>
          <w:szCs w:val="20"/>
          <w:lang w:eastAsia="es-ES"/>
        </w:rPr>
        <w:t xml:space="preserve">, regulador del </w:t>
      </w:r>
      <w:r w:rsidRPr="00466428">
        <w:rPr>
          <w:rFonts w:ascii="Times New Roman" w:eastAsia="Times New Roman" w:hAnsi="Times New Roman" w:cs="Times New Roman"/>
          <w:sz w:val="24"/>
          <w:szCs w:val="20"/>
          <w:lang w:eastAsia="es-ES"/>
        </w:rPr>
        <w:t>régimen del suelo rústico de actividades extractivas</w:t>
      </w:r>
      <w:r w:rsidR="00AE2690">
        <w:rPr>
          <w:rFonts w:ascii="Times New Roman" w:eastAsia="Times New Roman" w:hAnsi="Times New Roman" w:cs="Times New Roman"/>
          <w:sz w:val="24"/>
          <w:szCs w:val="20"/>
          <w:lang w:eastAsia="es-ES"/>
        </w:rPr>
        <w:t>, permite los usos del art. 57.b) y 57.b) bis,</w:t>
      </w:r>
      <w:r w:rsidRPr="00466428">
        <w:rPr>
          <w:rFonts w:ascii="Times New Roman" w:eastAsia="Times New Roman" w:hAnsi="Times New Roman" w:cs="Times New Roman"/>
          <w:sz w:val="24"/>
          <w:szCs w:val="20"/>
          <w:lang w:eastAsia="es-ES"/>
        </w:rPr>
        <w:t xml:space="preserve"> </w:t>
      </w:r>
      <w:r w:rsidR="00AE2690" w:rsidRPr="00AE2690">
        <w:rPr>
          <w:rFonts w:ascii="Times New Roman" w:eastAsia="Times New Roman" w:hAnsi="Times New Roman" w:cs="Times New Roman"/>
          <w:sz w:val="24"/>
          <w:szCs w:val="20"/>
          <w:lang w:eastAsia="es-ES"/>
        </w:rPr>
        <w:t>sin perjuicio de las exigencias de la n</w:t>
      </w:r>
      <w:r w:rsidR="00E167C3">
        <w:rPr>
          <w:rFonts w:ascii="Times New Roman" w:eastAsia="Times New Roman" w:hAnsi="Times New Roman" w:cs="Times New Roman"/>
          <w:sz w:val="24"/>
          <w:szCs w:val="20"/>
          <w:lang w:eastAsia="es-ES"/>
        </w:rPr>
        <w:t>ormativa sectorial y ambiental.</w:t>
      </w:r>
    </w:p>
    <w:p w:rsidR="00AE2690" w:rsidRPr="00AE2690" w:rsidRDefault="00E167C3" w:rsidP="00AE2690">
      <w:pPr>
        <w:spacing w:before="120" w:after="0" w:line="360" w:lineRule="auto"/>
        <w:ind w:firstLine="709"/>
        <w:jc w:val="both"/>
        <w:rPr>
          <w:rFonts w:ascii="Times New Roman" w:eastAsia="Times New Roman" w:hAnsi="Times New Roman" w:cs="Times New Roman"/>
          <w:sz w:val="24"/>
          <w:szCs w:val="20"/>
          <w:lang w:eastAsia="es-ES"/>
        </w:rPr>
      </w:pPr>
      <w:r w:rsidRPr="00E167C3">
        <w:rPr>
          <w:rFonts w:ascii="Times New Roman" w:eastAsia="Times New Roman" w:hAnsi="Times New Roman" w:cs="Times New Roman"/>
          <w:sz w:val="24"/>
          <w:szCs w:val="20"/>
          <w:lang w:eastAsia="es-ES"/>
        </w:rPr>
        <w:t>En el artículo 62</w:t>
      </w:r>
      <w:r>
        <w:rPr>
          <w:rFonts w:ascii="Times New Roman" w:eastAsia="Times New Roman" w:hAnsi="Times New Roman" w:cs="Times New Roman"/>
          <w:sz w:val="24"/>
          <w:szCs w:val="20"/>
          <w:lang w:eastAsia="es-ES"/>
        </w:rPr>
        <w:t xml:space="preserve">, relativo al </w:t>
      </w:r>
      <w:r w:rsidRPr="00E167C3">
        <w:rPr>
          <w:rFonts w:ascii="Times New Roman" w:eastAsia="Times New Roman" w:hAnsi="Times New Roman" w:cs="Times New Roman"/>
          <w:sz w:val="24"/>
          <w:szCs w:val="20"/>
          <w:lang w:eastAsia="es-ES"/>
        </w:rPr>
        <w:t>régimen del suelo rústico con protección agropecuaria</w:t>
      </w:r>
      <w:r>
        <w:rPr>
          <w:rFonts w:ascii="Times New Roman" w:eastAsia="Times New Roman" w:hAnsi="Times New Roman" w:cs="Times New Roman"/>
          <w:sz w:val="24"/>
          <w:szCs w:val="20"/>
          <w:lang w:eastAsia="es-ES"/>
        </w:rPr>
        <w:t>,</w:t>
      </w:r>
      <w:r w:rsidRPr="00E167C3">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considera</w:t>
      </w:r>
      <w:r w:rsidRPr="00E167C3">
        <w:rPr>
          <w:rFonts w:ascii="Times New Roman" w:eastAsia="Times New Roman" w:hAnsi="Times New Roman" w:cs="Times New Roman"/>
          <w:sz w:val="24"/>
          <w:szCs w:val="20"/>
          <w:lang w:eastAsia="es-ES"/>
        </w:rPr>
        <w:t xml:space="preserve"> usos autorizables los citados en el apartado b) de</w:t>
      </w:r>
      <w:r>
        <w:rPr>
          <w:rFonts w:ascii="Times New Roman" w:eastAsia="Times New Roman" w:hAnsi="Times New Roman" w:cs="Times New Roman"/>
          <w:sz w:val="24"/>
          <w:szCs w:val="20"/>
          <w:lang w:eastAsia="es-ES"/>
        </w:rPr>
        <w:t>l artículo 57, y el apartado c), pero considera</w:t>
      </w:r>
      <w:r w:rsidRPr="00E167C3">
        <w:rPr>
          <w:rFonts w:ascii="Times New Roman" w:eastAsia="Times New Roman" w:hAnsi="Times New Roman" w:cs="Times New Roman"/>
          <w:sz w:val="24"/>
          <w:szCs w:val="20"/>
          <w:lang w:eastAsia="es-ES"/>
        </w:rPr>
        <w:t xml:space="preserve"> usos prohibidos los </w:t>
      </w:r>
      <w:r>
        <w:rPr>
          <w:rFonts w:ascii="Times New Roman" w:eastAsia="Times New Roman" w:hAnsi="Times New Roman" w:cs="Times New Roman"/>
          <w:sz w:val="24"/>
          <w:szCs w:val="20"/>
          <w:lang w:eastAsia="es-ES"/>
        </w:rPr>
        <w:t>d</w:t>
      </w:r>
      <w:r w:rsidRPr="00E167C3">
        <w:rPr>
          <w:rFonts w:ascii="Times New Roman" w:eastAsia="Times New Roman" w:hAnsi="Times New Roman" w:cs="Times New Roman"/>
          <w:sz w:val="24"/>
          <w:szCs w:val="20"/>
          <w:lang w:eastAsia="es-ES"/>
        </w:rPr>
        <w:t xml:space="preserve">el nuevo apartado b bis) del artículo 57. </w:t>
      </w:r>
      <w:r w:rsidR="00AE2690" w:rsidRPr="00AE2690">
        <w:rPr>
          <w:rFonts w:ascii="Times New Roman" w:eastAsia="Times New Roman" w:hAnsi="Times New Roman" w:cs="Times New Roman"/>
          <w:sz w:val="24"/>
          <w:szCs w:val="20"/>
          <w:lang w:eastAsia="es-ES"/>
        </w:rPr>
        <w:t>Para la autorización de los usos citados en la letra b) del artículo 57, deberá obtenerse previo informe favorable de la Consejería competente en materia de agricultura.</w:t>
      </w:r>
    </w:p>
    <w:p w:rsidR="00AE2690" w:rsidRPr="00AE2690" w:rsidRDefault="00E167C3" w:rsidP="00AE2690">
      <w:pPr>
        <w:spacing w:before="120" w:after="0" w:line="360" w:lineRule="auto"/>
        <w:ind w:firstLine="709"/>
        <w:jc w:val="both"/>
        <w:rPr>
          <w:rFonts w:ascii="Times New Roman" w:eastAsia="Times New Roman" w:hAnsi="Times New Roman" w:cs="Times New Roman"/>
          <w:sz w:val="24"/>
          <w:szCs w:val="20"/>
          <w:lang w:eastAsia="es-ES"/>
        </w:rPr>
      </w:pPr>
      <w:r w:rsidRPr="00E167C3">
        <w:rPr>
          <w:rFonts w:ascii="Times New Roman" w:eastAsia="Times New Roman" w:hAnsi="Times New Roman" w:cs="Times New Roman"/>
          <w:sz w:val="24"/>
          <w:szCs w:val="20"/>
          <w:lang w:eastAsia="es-ES"/>
        </w:rPr>
        <w:t>En el artículo 63</w:t>
      </w:r>
      <w:r>
        <w:rPr>
          <w:rFonts w:ascii="Times New Roman" w:eastAsia="Times New Roman" w:hAnsi="Times New Roman" w:cs="Times New Roman"/>
          <w:sz w:val="24"/>
          <w:szCs w:val="20"/>
          <w:lang w:eastAsia="es-ES"/>
        </w:rPr>
        <w:t xml:space="preserve">, sobre el </w:t>
      </w:r>
      <w:r w:rsidRPr="00E167C3">
        <w:rPr>
          <w:rFonts w:ascii="Times New Roman" w:eastAsia="Times New Roman" w:hAnsi="Times New Roman" w:cs="Times New Roman"/>
          <w:sz w:val="24"/>
          <w:szCs w:val="20"/>
          <w:lang w:eastAsia="es-ES"/>
        </w:rPr>
        <w:t>régimen del suelo rústico con protección de infraestructuras</w:t>
      </w:r>
      <w:r>
        <w:rPr>
          <w:rFonts w:ascii="Times New Roman" w:eastAsia="Times New Roman" w:hAnsi="Times New Roman" w:cs="Times New Roman"/>
          <w:sz w:val="24"/>
          <w:szCs w:val="20"/>
          <w:lang w:eastAsia="es-ES"/>
        </w:rPr>
        <w:t>,</w:t>
      </w:r>
      <w:r w:rsidRPr="00E167C3">
        <w:rPr>
          <w:rFonts w:ascii="Times New Roman" w:eastAsia="Times New Roman" w:hAnsi="Times New Roman" w:cs="Times New Roman"/>
          <w:sz w:val="24"/>
          <w:szCs w:val="20"/>
          <w:lang w:eastAsia="es-ES"/>
        </w:rPr>
        <w:t xml:space="preserve"> inclu</w:t>
      </w:r>
      <w:r>
        <w:rPr>
          <w:rFonts w:ascii="Times New Roman" w:eastAsia="Times New Roman" w:hAnsi="Times New Roman" w:cs="Times New Roman"/>
          <w:sz w:val="24"/>
          <w:szCs w:val="20"/>
          <w:lang w:eastAsia="es-ES"/>
        </w:rPr>
        <w:t>ye</w:t>
      </w:r>
      <w:r w:rsidRPr="00E167C3">
        <w:rPr>
          <w:rFonts w:ascii="Times New Roman" w:eastAsia="Times New Roman" w:hAnsi="Times New Roman" w:cs="Times New Roman"/>
          <w:sz w:val="24"/>
          <w:szCs w:val="20"/>
          <w:lang w:eastAsia="es-ES"/>
        </w:rPr>
        <w:t xml:space="preserve"> como usos prohibidos los </w:t>
      </w:r>
      <w:r>
        <w:rPr>
          <w:rFonts w:ascii="Times New Roman" w:eastAsia="Times New Roman" w:hAnsi="Times New Roman" w:cs="Times New Roman"/>
          <w:sz w:val="24"/>
          <w:szCs w:val="20"/>
          <w:lang w:eastAsia="es-ES"/>
        </w:rPr>
        <w:t>usos previstos en</w:t>
      </w:r>
      <w:r w:rsidRPr="00E167C3">
        <w:rPr>
          <w:rFonts w:ascii="Times New Roman" w:eastAsia="Times New Roman" w:hAnsi="Times New Roman" w:cs="Times New Roman"/>
          <w:sz w:val="24"/>
          <w:szCs w:val="20"/>
          <w:lang w:eastAsia="es-ES"/>
        </w:rPr>
        <w:t xml:space="preserve"> el nuevo apartado b bis) del artículo 57.</w:t>
      </w:r>
    </w:p>
    <w:p w:rsidR="00E167C3" w:rsidRDefault="00E167C3" w:rsidP="00E167C3">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regulación conjunta de los regímenes del suelo rústico con protección cultural y con protección natural prevista en e</w:t>
      </w:r>
      <w:r w:rsidRPr="00466428">
        <w:rPr>
          <w:rFonts w:ascii="Times New Roman" w:eastAsia="Times New Roman" w:hAnsi="Times New Roman" w:cs="Times New Roman"/>
          <w:sz w:val="24"/>
          <w:szCs w:val="20"/>
          <w:lang w:eastAsia="es-ES"/>
        </w:rPr>
        <w:t xml:space="preserve">l artículo 64, </w:t>
      </w:r>
      <w:r>
        <w:rPr>
          <w:rFonts w:ascii="Times New Roman" w:eastAsia="Times New Roman" w:hAnsi="Times New Roman" w:cs="Times New Roman"/>
          <w:sz w:val="24"/>
          <w:szCs w:val="20"/>
          <w:lang w:eastAsia="es-ES"/>
        </w:rPr>
        <w:t>se divide en dos artículos para dotarla de claridad.</w:t>
      </w:r>
    </w:p>
    <w:p w:rsidR="00E167C3" w:rsidRDefault="00E167C3" w:rsidP="00E167C3">
      <w:pPr>
        <w:spacing w:before="120" w:after="0" w:line="360" w:lineRule="auto"/>
        <w:ind w:firstLine="709"/>
        <w:jc w:val="both"/>
        <w:rPr>
          <w:rFonts w:ascii="Times New Roman" w:eastAsia="Times New Roman" w:hAnsi="Times New Roman" w:cs="Times New Roman"/>
          <w:sz w:val="24"/>
          <w:szCs w:val="20"/>
          <w:lang w:eastAsia="es-ES"/>
        </w:rPr>
      </w:pPr>
      <w:r w:rsidRPr="00466428">
        <w:rPr>
          <w:rFonts w:ascii="Times New Roman" w:eastAsia="Times New Roman" w:hAnsi="Times New Roman" w:cs="Times New Roman"/>
          <w:sz w:val="24"/>
          <w:szCs w:val="20"/>
          <w:lang w:eastAsia="es-ES"/>
        </w:rPr>
        <w:t xml:space="preserve">El artículo 64 se reserva para el suelo rústico con protección natural, y </w:t>
      </w:r>
      <w:r>
        <w:rPr>
          <w:rFonts w:ascii="Times New Roman" w:eastAsia="Times New Roman" w:hAnsi="Times New Roman" w:cs="Times New Roman"/>
          <w:sz w:val="24"/>
          <w:szCs w:val="20"/>
          <w:lang w:eastAsia="es-ES"/>
        </w:rPr>
        <w:t>se incluyen</w:t>
      </w:r>
      <w:r w:rsidRPr="00466428">
        <w:rPr>
          <w:rFonts w:ascii="Times New Roman" w:eastAsia="Times New Roman" w:hAnsi="Times New Roman" w:cs="Times New Roman"/>
          <w:sz w:val="24"/>
          <w:szCs w:val="20"/>
          <w:lang w:eastAsia="es-ES"/>
        </w:rPr>
        <w:t xml:space="preserve"> como usos autorizables los citados en el apartado b) del artículo 57 </w:t>
      </w:r>
      <w:r>
        <w:rPr>
          <w:rFonts w:ascii="Times New Roman" w:eastAsia="Times New Roman" w:hAnsi="Times New Roman" w:cs="Times New Roman"/>
          <w:sz w:val="24"/>
          <w:szCs w:val="20"/>
          <w:lang w:eastAsia="es-ES"/>
        </w:rPr>
        <w:t>y como usos prohibidos los de</w:t>
      </w:r>
      <w:r w:rsidRPr="00466428">
        <w:rPr>
          <w:rFonts w:ascii="Times New Roman" w:eastAsia="Times New Roman" w:hAnsi="Times New Roman" w:cs="Times New Roman"/>
          <w:sz w:val="24"/>
          <w:szCs w:val="20"/>
          <w:lang w:eastAsia="es-ES"/>
        </w:rPr>
        <w:t xml:space="preserve">l apartado b bis) del artículo 57. </w:t>
      </w:r>
      <w:r>
        <w:rPr>
          <w:rFonts w:ascii="Times New Roman" w:eastAsia="Times New Roman" w:hAnsi="Times New Roman" w:cs="Times New Roman"/>
          <w:sz w:val="24"/>
          <w:szCs w:val="20"/>
          <w:lang w:eastAsia="es-ES"/>
        </w:rPr>
        <w:t>En todo caso, está prevista l</w:t>
      </w:r>
      <w:r w:rsidRPr="00466428">
        <w:rPr>
          <w:rFonts w:ascii="Times New Roman" w:eastAsia="Times New Roman" w:hAnsi="Times New Roman" w:cs="Times New Roman"/>
          <w:sz w:val="24"/>
          <w:szCs w:val="20"/>
          <w:lang w:eastAsia="es-ES"/>
        </w:rPr>
        <w:t>a necesaria obtención de informe favorable de la Administración titular del bien demanial o sector afectado o del órgano competente en materia de patrimonio natural para la autorización de los usos de la letra b) del artículo 57.</w:t>
      </w:r>
    </w:p>
    <w:p w:rsidR="00E167C3" w:rsidRPr="00466428" w:rsidRDefault="00E167C3" w:rsidP="00E167C3">
      <w:pPr>
        <w:spacing w:before="12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Se crea un nuevo art.</w:t>
      </w:r>
      <w:r w:rsidRPr="00466428">
        <w:rPr>
          <w:rFonts w:ascii="Times New Roman" w:eastAsia="Times New Roman" w:hAnsi="Times New Roman" w:cs="Times New Roman"/>
          <w:sz w:val="24"/>
          <w:szCs w:val="20"/>
          <w:lang w:eastAsia="es-ES"/>
        </w:rPr>
        <w:t xml:space="preserve"> 64 bis </w:t>
      </w:r>
      <w:r>
        <w:rPr>
          <w:rFonts w:ascii="Times New Roman" w:eastAsia="Times New Roman" w:hAnsi="Times New Roman" w:cs="Times New Roman"/>
          <w:sz w:val="24"/>
          <w:szCs w:val="20"/>
          <w:lang w:eastAsia="es-ES"/>
        </w:rPr>
        <w:t>para incorporar la regulación d</w:t>
      </w:r>
      <w:r w:rsidRPr="00466428">
        <w:rPr>
          <w:rFonts w:ascii="Times New Roman" w:eastAsia="Times New Roman" w:hAnsi="Times New Roman" w:cs="Times New Roman"/>
          <w:sz w:val="24"/>
          <w:szCs w:val="20"/>
          <w:lang w:eastAsia="es-ES"/>
        </w:rPr>
        <w:t xml:space="preserve">el régimen del suelo rústico con protección cultural, con adaptaciones propias de su especificidad, previendo </w:t>
      </w:r>
      <w:r w:rsidRPr="00466428">
        <w:rPr>
          <w:rFonts w:ascii="Times New Roman" w:eastAsia="Times New Roman" w:hAnsi="Times New Roman" w:cs="Times New Roman"/>
          <w:sz w:val="24"/>
          <w:szCs w:val="20"/>
          <w:lang w:eastAsia="es-ES"/>
        </w:rPr>
        <w:lastRenderedPageBreak/>
        <w:t>en particular un previo informe del órgano competente en materia de patrimonio cultural para la autorización de actividades extractivas en esta categoría de suelo.</w:t>
      </w:r>
    </w:p>
    <w:p w:rsidR="00AE2690" w:rsidRPr="00AE2690" w:rsidRDefault="00E167C3" w:rsidP="00E167C3">
      <w:pPr>
        <w:spacing w:before="120" w:after="0" w:line="360" w:lineRule="auto"/>
        <w:ind w:firstLine="709"/>
        <w:jc w:val="both"/>
        <w:rPr>
          <w:rFonts w:ascii="Times New Roman" w:eastAsia="Times New Roman" w:hAnsi="Times New Roman" w:cs="Times New Roman"/>
          <w:sz w:val="24"/>
          <w:szCs w:val="20"/>
          <w:lang w:eastAsia="es-ES"/>
        </w:rPr>
      </w:pPr>
      <w:r w:rsidRPr="00E167C3">
        <w:rPr>
          <w:rFonts w:ascii="Times New Roman" w:eastAsia="Times New Roman" w:hAnsi="Times New Roman" w:cs="Times New Roman"/>
          <w:sz w:val="24"/>
          <w:szCs w:val="20"/>
          <w:lang w:eastAsia="es-ES"/>
        </w:rPr>
        <w:t xml:space="preserve">En el </w:t>
      </w:r>
      <w:r>
        <w:rPr>
          <w:rFonts w:ascii="Times New Roman" w:eastAsia="Times New Roman" w:hAnsi="Times New Roman" w:cs="Times New Roman"/>
          <w:sz w:val="24"/>
          <w:szCs w:val="20"/>
          <w:lang w:eastAsia="es-ES"/>
        </w:rPr>
        <w:t>relativo al régimen</w:t>
      </w:r>
      <w:r w:rsidRPr="00E167C3">
        <w:rPr>
          <w:rFonts w:ascii="Times New Roman" w:eastAsia="Times New Roman" w:hAnsi="Times New Roman" w:cs="Times New Roman"/>
          <w:sz w:val="24"/>
          <w:szCs w:val="20"/>
          <w:lang w:eastAsia="es-ES"/>
        </w:rPr>
        <w:t xml:space="preserve"> del suelo rústico con protección especial</w:t>
      </w:r>
      <w:r>
        <w:rPr>
          <w:rFonts w:ascii="Times New Roman" w:eastAsia="Times New Roman" w:hAnsi="Times New Roman" w:cs="Times New Roman"/>
          <w:sz w:val="24"/>
          <w:szCs w:val="20"/>
          <w:lang w:eastAsia="es-ES"/>
        </w:rPr>
        <w:t xml:space="preserve">, se modifica el art. 65 </w:t>
      </w:r>
      <w:r w:rsidRPr="00E167C3">
        <w:rPr>
          <w:rFonts w:ascii="Times New Roman" w:eastAsia="Times New Roman" w:hAnsi="Times New Roman" w:cs="Times New Roman"/>
          <w:sz w:val="24"/>
          <w:szCs w:val="20"/>
          <w:lang w:eastAsia="es-ES"/>
        </w:rPr>
        <w:t>para incluir como usos prohibidos los citados en el nuevo apartado b bis) del artículo 57.</w:t>
      </w:r>
      <w:r>
        <w:rPr>
          <w:rFonts w:ascii="Times New Roman" w:eastAsia="Times New Roman" w:hAnsi="Times New Roman" w:cs="Times New Roman"/>
          <w:sz w:val="24"/>
          <w:szCs w:val="20"/>
          <w:lang w:eastAsia="es-ES"/>
        </w:rPr>
        <w:t xml:space="preserve"> </w:t>
      </w:r>
    </w:p>
    <w:p w:rsidR="008E0D50" w:rsidRDefault="00466428" w:rsidP="00466428">
      <w:pPr>
        <w:spacing w:before="120" w:after="0" w:line="360" w:lineRule="auto"/>
        <w:ind w:firstLine="709"/>
        <w:jc w:val="both"/>
        <w:rPr>
          <w:rFonts w:ascii="Times New Roman" w:eastAsia="Times New Roman" w:hAnsi="Times New Roman" w:cs="Times New Roman"/>
          <w:sz w:val="24"/>
          <w:szCs w:val="20"/>
          <w:lang w:eastAsia="es-ES"/>
        </w:rPr>
      </w:pPr>
      <w:r w:rsidRPr="00466428">
        <w:rPr>
          <w:rFonts w:ascii="Times New Roman" w:eastAsia="Times New Roman" w:hAnsi="Times New Roman" w:cs="Times New Roman"/>
          <w:sz w:val="24"/>
          <w:szCs w:val="20"/>
          <w:lang w:eastAsia="es-ES"/>
        </w:rPr>
        <w:t>El Decreto contiene una Disposición derogatoria con la que se habilita la directa eficacia de sus determinaciones en los municipios sin planeamiento urbanístico municipal propio.</w:t>
      </w:r>
    </w:p>
    <w:p w:rsidR="00622642" w:rsidRPr="00622642" w:rsidRDefault="00622642" w:rsidP="00622642">
      <w:pPr>
        <w:spacing w:before="12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 xml:space="preserve">II. NOVEDADES JURISPRUDENCIALES. </w:t>
      </w:r>
    </w:p>
    <w:p w:rsidR="00DA35CF" w:rsidRDefault="00DA35CF"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Durante el periodo de febrero a abril, ambos incluidos, de 2021, fue publicada en el B.O.E. la </w:t>
      </w:r>
      <w:r w:rsidR="00622642" w:rsidRPr="00622642">
        <w:rPr>
          <w:rFonts w:ascii="Times New Roman" w:eastAsia="Times New Roman" w:hAnsi="Times New Roman" w:cs="Times New Roman"/>
          <w:sz w:val="24"/>
          <w:szCs w:val="20"/>
          <w:lang w:eastAsia="es-ES"/>
        </w:rPr>
        <w:t xml:space="preserve">sentencia del Tribunal Constitucional que </w:t>
      </w:r>
      <w:r>
        <w:rPr>
          <w:rFonts w:ascii="Times New Roman" w:eastAsia="Times New Roman" w:hAnsi="Times New Roman" w:cs="Times New Roman"/>
          <w:sz w:val="24"/>
          <w:szCs w:val="20"/>
          <w:lang w:eastAsia="es-ES"/>
        </w:rPr>
        <w:t>examinó el</w:t>
      </w:r>
      <w:r w:rsidRPr="00DA35CF">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r</w:t>
      </w:r>
      <w:r w:rsidRPr="00DA35CF">
        <w:rPr>
          <w:rFonts w:ascii="Times New Roman" w:eastAsia="Times New Roman" w:hAnsi="Times New Roman" w:cs="Times New Roman"/>
          <w:sz w:val="24"/>
          <w:szCs w:val="20"/>
          <w:lang w:eastAsia="es-ES"/>
        </w:rPr>
        <w:t>ecurso de inconstitucionalidad 2577</w:t>
      </w:r>
      <w:r>
        <w:rPr>
          <w:rFonts w:ascii="Times New Roman" w:eastAsia="Times New Roman" w:hAnsi="Times New Roman" w:cs="Times New Roman"/>
          <w:sz w:val="24"/>
          <w:szCs w:val="20"/>
          <w:lang w:eastAsia="es-ES"/>
        </w:rPr>
        <w:t>/</w:t>
      </w:r>
      <w:r w:rsidRPr="00DA35CF">
        <w:rPr>
          <w:rFonts w:ascii="Times New Roman" w:eastAsia="Times New Roman" w:hAnsi="Times New Roman" w:cs="Times New Roman"/>
          <w:sz w:val="24"/>
          <w:szCs w:val="20"/>
          <w:lang w:eastAsia="es-ES"/>
        </w:rPr>
        <w:t>2020</w:t>
      </w:r>
      <w:r>
        <w:rPr>
          <w:rFonts w:ascii="Times New Roman" w:eastAsia="Times New Roman" w:hAnsi="Times New Roman" w:cs="Times New Roman"/>
          <w:sz w:val="24"/>
          <w:szCs w:val="20"/>
          <w:lang w:eastAsia="es-ES"/>
        </w:rPr>
        <w:t xml:space="preserve"> i</w:t>
      </w:r>
      <w:r w:rsidRPr="00DA35CF">
        <w:rPr>
          <w:rFonts w:ascii="Times New Roman" w:eastAsia="Times New Roman" w:hAnsi="Times New Roman" w:cs="Times New Roman"/>
          <w:sz w:val="24"/>
          <w:szCs w:val="20"/>
          <w:lang w:eastAsia="es-ES"/>
        </w:rPr>
        <w:t>nterpuesto por más de cincuenta diputados del Grupo Parlamentario Popular del Congreso respecto de los Decretos-leyes del Gobierno de la Generalitat de Cataluña 17/2019, de 23 de diciembre, de medidas urgentes para mejorar el acceso a la vivienda, y 1/2020, de 21 de enero, por el que se modifica el anterior, y el acuerdo del Parlamento Cataluña de convalidación del Decreto-ley 1/2020.</w:t>
      </w:r>
      <w:r>
        <w:rPr>
          <w:rFonts w:ascii="Times New Roman" w:eastAsia="Times New Roman" w:hAnsi="Times New Roman" w:cs="Times New Roman"/>
          <w:sz w:val="24"/>
          <w:szCs w:val="20"/>
          <w:lang w:eastAsia="es-ES"/>
        </w:rPr>
        <w:t xml:space="preserve"> Esta sentencia analiza la constitucionalidad de los artículos</w:t>
      </w:r>
      <w:r w:rsidRPr="00DA35CF">
        <w:rPr>
          <w:rFonts w:ascii="Times New Roman" w:eastAsia="Times New Roman" w:hAnsi="Times New Roman" w:cs="Times New Roman"/>
          <w:sz w:val="24"/>
          <w:szCs w:val="20"/>
          <w:lang w:eastAsia="es-ES"/>
        </w:rPr>
        <w:t xml:space="preserve"> que tipifican como supuesto de incumplimiento de la función social de la propiedad de la vivienda su desocupación permanente y establecen medidas coactivas para su cumplimiento</w:t>
      </w:r>
      <w:r>
        <w:rPr>
          <w:rFonts w:ascii="Times New Roman" w:eastAsia="Times New Roman" w:hAnsi="Times New Roman" w:cs="Times New Roman"/>
          <w:sz w:val="24"/>
          <w:szCs w:val="20"/>
          <w:lang w:eastAsia="es-ES"/>
        </w:rPr>
        <w:t>.</w:t>
      </w:r>
    </w:p>
    <w:p w:rsidR="00622642" w:rsidRPr="00622642" w:rsidRDefault="00FC0169"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Del </w:t>
      </w:r>
      <w:r w:rsidR="00DA35CF">
        <w:rPr>
          <w:rFonts w:ascii="Times New Roman" w:eastAsia="Times New Roman" w:hAnsi="Times New Roman" w:cs="Times New Roman"/>
          <w:sz w:val="24"/>
          <w:szCs w:val="20"/>
          <w:lang w:eastAsia="es-ES"/>
        </w:rPr>
        <w:t>Tribunal Supremo</w:t>
      </w:r>
      <w:r>
        <w:rPr>
          <w:rFonts w:ascii="Times New Roman" w:eastAsia="Times New Roman" w:hAnsi="Times New Roman" w:cs="Times New Roman"/>
          <w:sz w:val="24"/>
          <w:szCs w:val="20"/>
          <w:lang w:eastAsia="es-ES"/>
        </w:rPr>
        <w:t xml:space="preserve"> se analiza una sentencia que conoce de la regulación de las limitaciones impuestas por el Ayuntamiento de Barcelona a la implantación de viviendas de uso turístico y su conformidad con la normativa europea sobre servicios.</w:t>
      </w:r>
    </w:p>
    <w:p w:rsidR="00D75F50" w:rsidRDefault="00FC0169" w:rsidP="00D75F5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También nos referimos a una sentencia del TSJ de Aragón </w:t>
      </w:r>
      <w:r w:rsidR="00D75F50">
        <w:rPr>
          <w:rFonts w:ascii="Times New Roman" w:eastAsia="Times New Roman" w:hAnsi="Times New Roman" w:cs="Times New Roman"/>
          <w:sz w:val="24"/>
          <w:szCs w:val="20"/>
          <w:lang w:eastAsia="es-ES"/>
        </w:rPr>
        <w:t>relativa a la compatibilización de las órdenes de ejecución en un edificio catalogado y declarado en ruina.</w:t>
      </w:r>
    </w:p>
    <w:p w:rsidR="00F86927" w:rsidRPr="00F86927" w:rsidRDefault="00F86927" w:rsidP="00F86927">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1.</w:t>
      </w:r>
      <w:r w:rsidR="007C07B1">
        <w:rPr>
          <w:rFonts w:ascii="Times New Roman" w:eastAsia="Times New Roman" w:hAnsi="Times New Roman" w:cs="Times New Roman"/>
          <w:b/>
          <w:sz w:val="24"/>
          <w:szCs w:val="20"/>
          <w:lang w:eastAsia="es-ES"/>
        </w:rPr>
        <w:t>-</w:t>
      </w:r>
      <w:r>
        <w:rPr>
          <w:rFonts w:ascii="Times New Roman" w:eastAsia="Times New Roman" w:hAnsi="Times New Roman" w:cs="Times New Roman"/>
          <w:b/>
          <w:sz w:val="24"/>
          <w:szCs w:val="20"/>
          <w:lang w:eastAsia="es-ES"/>
        </w:rPr>
        <w:t xml:space="preserve"> </w:t>
      </w:r>
      <w:r w:rsidRPr="00F86927">
        <w:rPr>
          <w:rFonts w:ascii="Times New Roman" w:eastAsia="Times New Roman" w:hAnsi="Times New Roman" w:cs="Times New Roman"/>
          <w:b/>
          <w:sz w:val="24"/>
          <w:szCs w:val="20"/>
          <w:lang w:eastAsia="es-ES"/>
        </w:rPr>
        <w:t>TRIBUNAL CONSTITUCIONAL.</w:t>
      </w:r>
    </w:p>
    <w:p w:rsidR="00F86927" w:rsidRDefault="00F86927" w:rsidP="00F86927">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 </w:t>
      </w:r>
      <w:r w:rsidRPr="00F86927">
        <w:rPr>
          <w:rFonts w:ascii="Times New Roman" w:eastAsia="Times New Roman" w:hAnsi="Times New Roman" w:cs="Times New Roman"/>
          <w:b/>
          <w:sz w:val="24"/>
          <w:szCs w:val="20"/>
          <w:u w:val="single"/>
          <w:lang w:eastAsia="es-ES"/>
        </w:rPr>
        <w:t xml:space="preserve">Sentencia 16/2021, de 28 de enero, que resuelve el recurso de inconstitucionalidad interpuesto por más de cincuenta diputados del Grupo Parlamentario Popular del Congreso respecto de los Decretos leyes del Gobierno de la Generalitat de Cataluña 17/2019, de 23 de diciembre, de medidas urgentes para </w:t>
      </w:r>
      <w:r w:rsidRPr="00F86927">
        <w:rPr>
          <w:rFonts w:ascii="Times New Roman" w:eastAsia="Times New Roman" w:hAnsi="Times New Roman" w:cs="Times New Roman"/>
          <w:b/>
          <w:sz w:val="24"/>
          <w:szCs w:val="20"/>
          <w:u w:val="single"/>
          <w:lang w:eastAsia="es-ES"/>
        </w:rPr>
        <w:lastRenderedPageBreak/>
        <w:t>mejorar el acceso a la vivienda, y 1/2020, de 21 de enero, por el que se modifica el anterior, y el acuerdo del Parlamento Cataluña de convalidación del Decreto-ley 1/2020</w:t>
      </w:r>
      <w:r>
        <w:rPr>
          <w:rFonts w:ascii="Times New Roman" w:eastAsia="Times New Roman" w:hAnsi="Times New Roman" w:cs="Times New Roman"/>
          <w:sz w:val="24"/>
          <w:szCs w:val="20"/>
          <w:lang w:eastAsia="es-ES"/>
        </w:rPr>
        <w:t xml:space="preserve"> (BOE núm. 46, de 23 de febrero)</w:t>
      </w:r>
    </w:p>
    <w:p w:rsidR="00F86927" w:rsidRDefault="00DA35CF" w:rsidP="00F86927">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DA35CF">
        <w:rPr>
          <w:rFonts w:ascii="Times New Roman" w:eastAsia="Times New Roman" w:hAnsi="Times New Roman" w:cs="Times New Roman"/>
          <w:sz w:val="24"/>
          <w:szCs w:val="20"/>
          <w:lang w:eastAsia="es-ES"/>
        </w:rPr>
        <w:t>E</w:t>
      </w:r>
      <w:r>
        <w:rPr>
          <w:rFonts w:ascii="Times New Roman" w:eastAsia="Times New Roman" w:hAnsi="Times New Roman" w:cs="Times New Roman"/>
          <w:sz w:val="24"/>
          <w:szCs w:val="20"/>
          <w:lang w:eastAsia="es-ES"/>
        </w:rPr>
        <w:t>ste</w:t>
      </w:r>
      <w:r w:rsidRPr="00DA35CF">
        <w:rPr>
          <w:rFonts w:ascii="Times New Roman" w:eastAsia="Times New Roman" w:hAnsi="Times New Roman" w:cs="Times New Roman"/>
          <w:sz w:val="24"/>
          <w:szCs w:val="20"/>
          <w:lang w:eastAsia="es-ES"/>
        </w:rPr>
        <w:t xml:space="preserve"> recurso de inconstitucionalidad </w:t>
      </w:r>
      <w:r>
        <w:rPr>
          <w:rFonts w:ascii="Times New Roman" w:eastAsia="Times New Roman" w:hAnsi="Times New Roman" w:cs="Times New Roman"/>
          <w:sz w:val="24"/>
          <w:szCs w:val="20"/>
          <w:lang w:eastAsia="es-ES"/>
        </w:rPr>
        <w:t xml:space="preserve">se interpuso </w:t>
      </w:r>
      <w:r w:rsidRPr="00DA35CF">
        <w:rPr>
          <w:rFonts w:ascii="Times New Roman" w:eastAsia="Times New Roman" w:hAnsi="Times New Roman" w:cs="Times New Roman"/>
          <w:sz w:val="24"/>
          <w:szCs w:val="20"/>
          <w:lang w:eastAsia="es-ES"/>
        </w:rPr>
        <w:t>contra el Decreto-ley del Gobierno de la Generalitat de Cataluña 17/2019, de 23 de diciembre, de medidas urgentes para mejorar el acceso a la vivienda</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en su conjunto y subsidiariamente contra sus artículos 2.1, 2.2, 2.3, 2.4, 2.5, 2.7, 2.8, 2.9, 2.10, 2.11, 2.12, 4.2, 4.6, 5.4, 5.5, 5.6, 5.7, 6.2, 6.3, 6.4, 6.6, 8.1, 8.2, 8.3, 8.5, 13.2 y disposición transitoria primera, contra el artículo único del Decreto-ley del Gobierno de la Generalitat de Cataluña 1/2020, de 21 de enero, por el que se modifica el anterior, y contra el acuerdo del Parlamento de Cataluña de 4 de marzo de 2020 de validación de este último Decreto-ley 1/2020.</w:t>
      </w:r>
    </w:p>
    <w:p w:rsidR="00F86927" w:rsidRDefault="00DA35CF" w:rsidP="00DA35C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DA35CF">
        <w:rPr>
          <w:rFonts w:ascii="Times New Roman" w:eastAsia="Times New Roman" w:hAnsi="Times New Roman" w:cs="Times New Roman"/>
          <w:sz w:val="24"/>
          <w:szCs w:val="20"/>
          <w:lang w:eastAsia="es-ES"/>
        </w:rPr>
        <w:t>E</w:t>
      </w:r>
      <w:r>
        <w:rPr>
          <w:rFonts w:ascii="Times New Roman" w:eastAsia="Times New Roman" w:hAnsi="Times New Roman" w:cs="Times New Roman"/>
          <w:sz w:val="24"/>
          <w:szCs w:val="20"/>
          <w:lang w:eastAsia="es-ES"/>
        </w:rPr>
        <w:t>l</w:t>
      </w:r>
      <w:r w:rsidRPr="00DA35CF">
        <w:rPr>
          <w:rFonts w:ascii="Times New Roman" w:eastAsia="Times New Roman" w:hAnsi="Times New Roman" w:cs="Times New Roman"/>
          <w:sz w:val="24"/>
          <w:szCs w:val="20"/>
          <w:lang w:eastAsia="es-ES"/>
        </w:rPr>
        <w:t xml:space="preserve"> Decreto-ley </w:t>
      </w:r>
      <w:r>
        <w:rPr>
          <w:rFonts w:ascii="Times New Roman" w:eastAsia="Times New Roman" w:hAnsi="Times New Roman" w:cs="Times New Roman"/>
          <w:sz w:val="24"/>
          <w:szCs w:val="20"/>
          <w:lang w:eastAsia="es-ES"/>
        </w:rPr>
        <w:t>con</w:t>
      </w:r>
      <w:r w:rsidRPr="00DA35CF">
        <w:rPr>
          <w:rFonts w:ascii="Times New Roman" w:eastAsia="Times New Roman" w:hAnsi="Times New Roman" w:cs="Times New Roman"/>
          <w:sz w:val="24"/>
          <w:szCs w:val="20"/>
          <w:lang w:eastAsia="es-ES"/>
        </w:rPr>
        <w:t>tiene quince artículos que modifican varias</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leyes anteriores (Ley del Parlamento de Cataluña 18/2007, de 28 de diciembre, del</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derecho a la vivienda; Decreto-ley del Gobierno de la Generalitat de Cataluña 1/2015,</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de 24 de marzo, de medidas extraordinarias y urgentes para la movilización de las</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viviendas provenientes de procesos de ejecución hipotecaria; Ley del Parlamento de</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Cataluña 24/2015, del 29 de julio, de medidas urgentes para afrontar la emergencia en el</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ámbito de la vivienda y la pobreza energética; Ley del Parlamento de Cataluña 4/2016,</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de 23 de diciembre, de medidas de protección del derecho a la vivienda de las personas</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en riesgo de exclusión residencial; y texto refundido de la Ley de urbanismo, aprobado</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por el Decreto Legislativo de la Generalitat de Cataluña 1/2010, de 3 de agosto). A ellos</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se añaden seis disposiciones adicionales, nueve transitorias, una derogatoria y siete</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finales</w:t>
      </w:r>
      <w:r>
        <w:rPr>
          <w:rFonts w:ascii="Times New Roman" w:eastAsia="Times New Roman" w:hAnsi="Times New Roman" w:cs="Times New Roman"/>
          <w:sz w:val="24"/>
          <w:szCs w:val="20"/>
          <w:lang w:eastAsia="es-ES"/>
        </w:rPr>
        <w:t>.</w:t>
      </w:r>
    </w:p>
    <w:p w:rsidR="00F86927" w:rsidRDefault="00DA35CF" w:rsidP="00DA35C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DA35CF">
        <w:rPr>
          <w:rFonts w:ascii="Times New Roman" w:eastAsia="Times New Roman" w:hAnsi="Times New Roman" w:cs="Times New Roman"/>
          <w:sz w:val="24"/>
          <w:szCs w:val="20"/>
          <w:lang w:eastAsia="es-ES"/>
        </w:rPr>
        <w:t>L</w:t>
      </w:r>
      <w:r>
        <w:rPr>
          <w:rFonts w:ascii="Times New Roman" w:eastAsia="Times New Roman" w:hAnsi="Times New Roman" w:cs="Times New Roman"/>
          <w:sz w:val="24"/>
          <w:szCs w:val="20"/>
          <w:lang w:eastAsia="es-ES"/>
        </w:rPr>
        <w:t xml:space="preserve">a impugnación en conjunto se funda en la </w:t>
      </w:r>
      <w:r w:rsidRPr="00DA35CF">
        <w:rPr>
          <w:rFonts w:ascii="Times New Roman" w:eastAsia="Times New Roman" w:hAnsi="Times New Roman" w:cs="Times New Roman"/>
          <w:sz w:val="24"/>
          <w:szCs w:val="20"/>
          <w:lang w:eastAsia="es-ES"/>
        </w:rPr>
        <w:t>falta de presupuesto habilitante</w:t>
      </w:r>
      <w:r>
        <w:rPr>
          <w:rFonts w:ascii="Times New Roman" w:eastAsia="Times New Roman" w:hAnsi="Times New Roman" w:cs="Times New Roman"/>
          <w:sz w:val="24"/>
          <w:szCs w:val="20"/>
          <w:lang w:eastAsia="es-ES"/>
        </w:rPr>
        <w:t>. S</w:t>
      </w:r>
      <w:r w:rsidRPr="00DA35CF">
        <w:rPr>
          <w:rFonts w:ascii="Times New Roman" w:eastAsia="Times New Roman" w:hAnsi="Times New Roman" w:cs="Times New Roman"/>
          <w:sz w:val="24"/>
          <w:szCs w:val="20"/>
          <w:lang w:eastAsia="es-ES"/>
        </w:rPr>
        <w:t>ubsidiariamente</w:t>
      </w:r>
      <w:r>
        <w:rPr>
          <w:rFonts w:ascii="Times New Roman" w:eastAsia="Times New Roman" w:hAnsi="Times New Roman" w:cs="Times New Roman"/>
          <w:sz w:val="24"/>
          <w:szCs w:val="20"/>
          <w:lang w:eastAsia="es-ES"/>
        </w:rPr>
        <w:t xml:space="preserve"> son</w:t>
      </w:r>
      <w:r w:rsidRPr="00DA35CF">
        <w:rPr>
          <w:rFonts w:ascii="Times New Roman" w:eastAsia="Times New Roman" w:hAnsi="Times New Roman" w:cs="Times New Roman"/>
          <w:sz w:val="24"/>
          <w:szCs w:val="20"/>
          <w:lang w:eastAsia="es-ES"/>
        </w:rPr>
        <w:t xml:space="preserve"> impugna</w:t>
      </w:r>
      <w:r>
        <w:rPr>
          <w:rFonts w:ascii="Times New Roman" w:eastAsia="Times New Roman" w:hAnsi="Times New Roman" w:cs="Times New Roman"/>
          <w:sz w:val="24"/>
          <w:szCs w:val="20"/>
          <w:lang w:eastAsia="es-ES"/>
        </w:rPr>
        <w:t>dos</w:t>
      </w:r>
      <w:r w:rsidRPr="00DA35CF">
        <w:rPr>
          <w:rFonts w:ascii="Times New Roman" w:eastAsia="Times New Roman" w:hAnsi="Times New Roman" w:cs="Times New Roman"/>
          <w:sz w:val="24"/>
          <w:szCs w:val="20"/>
          <w:lang w:eastAsia="es-ES"/>
        </w:rPr>
        <w:t xml:space="preserve"> varios de sus artículos por motivos tanto competenciales como</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sustantivos</w:t>
      </w:r>
      <w:r>
        <w:rPr>
          <w:rFonts w:ascii="Times New Roman" w:eastAsia="Times New Roman" w:hAnsi="Times New Roman" w:cs="Times New Roman"/>
          <w:sz w:val="24"/>
          <w:szCs w:val="20"/>
          <w:lang w:eastAsia="es-ES"/>
        </w:rPr>
        <w:t xml:space="preserve">, siendo el motivo principal la declaración del DL de </w:t>
      </w:r>
      <w:r w:rsidRPr="00DA35CF">
        <w:rPr>
          <w:rFonts w:ascii="Times New Roman" w:eastAsia="Times New Roman" w:hAnsi="Times New Roman" w:cs="Times New Roman"/>
          <w:sz w:val="24"/>
          <w:szCs w:val="20"/>
          <w:lang w:eastAsia="es-ES"/>
        </w:rPr>
        <w:t>que mantener vacía una vivienda, o incluso ocupada</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sin título legítimo, supone un incumplimiento de la función social de la propiedad que habilita</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a la administración para requerir al propietario para su ocupación efectiva, imponerle multas</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coercitivas para la ejecución del mismo con un importe total máximo de hasta el 50</w:t>
      </w:r>
      <w:r>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del valor estimado de la vivienda, sancionarle con multas de entre 90.001 y 900.000 € o</w:t>
      </w:r>
      <w:r w:rsidR="00074D83">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 xml:space="preserve">expropiarle su propiedad. </w:t>
      </w:r>
      <w:r w:rsidR="00074D83">
        <w:rPr>
          <w:rFonts w:ascii="Times New Roman" w:eastAsia="Times New Roman" w:hAnsi="Times New Roman" w:cs="Times New Roman"/>
          <w:sz w:val="24"/>
          <w:szCs w:val="20"/>
          <w:lang w:eastAsia="es-ES"/>
        </w:rPr>
        <w:t>T</w:t>
      </w:r>
      <w:r w:rsidRPr="00DA35CF">
        <w:rPr>
          <w:rFonts w:ascii="Times New Roman" w:eastAsia="Times New Roman" w:hAnsi="Times New Roman" w:cs="Times New Roman"/>
          <w:sz w:val="24"/>
          <w:szCs w:val="20"/>
          <w:lang w:eastAsia="es-ES"/>
        </w:rPr>
        <w:t xml:space="preserve">ambién </w:t>
      </w:r>
      <w:r w:rsidR="00074D83">
        <w:rPr>
          <w:rFonts w:ascii="Times New Roman" w:eastAsia="Times New Roman" w:hAnsi="Times New Roman" w:cs="Times New Roman"/>
          <w:sz w:val="24"/>
          <w:szCs w:val="20"/>
          <w:lang w:eastAsia="es-ES"/>
        </w:rPr>
        <w:t>se impugnan los artículos que</w:t>
      </w:r>
      <w:r w:rsidRPr="00DA35CF">
        <w:rPr>
          <w:rFonts w:ascii="Times New Roman" w:eastAsia="Times New Roman" w:hAnsi="Times New Roman" w:cs="Times New Roman"/>
          <w:sz w:val="24"/>
          <w:szCs w:val="20"/>
          <w:lang w:eastAsia="es-ES"/>
        </w:rPr>
        <w:t xml:space="preserve"> establecen la obligación de los</w:t>
      </w:r>
      <w:r w:rsidR="00074D83">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grandes tenedores de viviendas, que son las personas físicas y jurídicas titulares de más de</w:t>
      </w:r>
      <w:r w:rsidR="00074D83">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 xml:space="preserve">quince </w:t>
      </w:r>
      <w:r w:rsidRPr="00DA35CF">
        <w:rPr>
          <w:rFonts w:ascii="Times New Roman" w:eastAsia="Times New Roman" w:hAnsi="Times New Roman" w:cs="Times New Roman"/>
          <w:sz w:val="24"/>
          <w:szCs w:val="20"/>
          <w:lang w:eastAsia="es-ES"/>
        </w:rPr>
        <w:lastRenderedPageBreak/>
        <w:t>viviendas, de ofrecer un alquiler social con precio limitado a los ocupantes de una</w:t>
      </w:r>
      <w:r w:rsidR="00074D83">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vivienda antes de emprender contra ellos acciones judiciales de desahucio, ejecución</w:t>
      </w:r>
      <w:r w:rsidR="00074D83">
        <w:rPr>
          <w:rFonts w:ascii="Times New Roman" w:eastAsia="Times New Roman" w:hAnsi="Times New Roman" w:cs="Times New Roman"/>
          <w:sz w:val="24"/>
          <w:szCs w:val="20"/>
          <w:lang w:eastAsia="es-ES"/>
        </w:rPr>
        <w:t xml:space="preserve"> </w:t>
      </w:r>
      <w:r w:rsidRPr="00DA35CF">
        <w:rPr>
          <w:rFonts w:ascii="Times New Roman" w:eastAsia="Times New Roman" w:hAnsi="Times New Roman" w:cs="Times New Roman"/>
          <w:sz w:val="24"/>
          <w:szCs w:val="20"/>
          <w:lang w:eastAsia="es-ES"/>
        </w:rPr>
        <w:t>hipotecaria y otras análogas.</w:t>
      </w:r>
    </w:p>
    <w:p w:rsidR="00074D83" w:rsidRDefault="00074D83" w:rsidP="00074D8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la impugnación se incluye el DL 1/2020 para modificar la definición de vivienda vacía, al suprimir </w:t>
      </w:r>
      <w:r w:rsidRPr="00074D83">
        <w:rPr>
          <w:rFonts w:ascii="Times New Roman" w:eastAsia="Times New Roman" w:hAnsi="Times New Roman" w:cs="Times New Roman"/>
          <w:sz w:val="24"/>
          <w:szCs w:val="20"/>
          <w:lang w:eastAsia="es-ES"/>
        </w:rPr>
        <w:t>dos incisos de la definición que exceptuaban la posibilidad de declarar</w:t>
      </w:r>
      <w:r>
        <w:rPr>
          <w:rFonts w:ascii="Times New Roman" w:eastAsia="Times New Roman" w:hAnsi="Times New Roman" w:cs="Times New Roman"/>
          <w:sz w:val="24"/>
          <w:szCs w:val="20"/>
          <w:lang w:eastAsia="es-ES"/>
        </w:rPr>
        <w:t xml:space="preserve"> é</w:t>
      </w:r>
      <w:r w:rsidRPr="00074D83">
        <w:rPr>
          <w:rFonts w:ascii="Times New Roman" w:eastAsia="Times New Roman" w:hAnsi="Times New Roman" w:cs="Times New Roman"/>
          <w:sz w:val="24"/>
          <w:szCs w:val="20"/>
          <w:lang w:eastAsia="es-ES"/>
        </w:rPr>
        <w:t>sta en caso de pendencia de un litigio sobre la «posesión» de la vivienda o si el</w:t>
      </w:r>
      <w:r>
        <w:rPr>
          <w:rFonts w:ascii="Times New Roman" w:eastAsia="Times New Roman" w:hAnsi="Times New Roman" w:cs="Times New Roman"/>
          <w:sz w:val="24"/>
          <w:szCs w:val="20"/>
          <w:lang w:eastAsia="es-ES"/>
        </w:rPr>
        <w:t xml:space="preserve"> </w:t>
      </w:r>
      <w:r w:rsidRPr="00074D83">
        <w:rPr>
          <w:rFonts w:ascii="Times New Roman" w:eastAsia="Times New Roman" w:hAnsi="Times New Roman" w:cs="Times New Roman"/>
          <w:sz w:val="24"/>
          <w:szCs w:val="20"/>
          <w:lang w:eastAsia="es-ES"/>
        </w:rPr>
        <w:t>propietario ejercía las «</w:t>
      </w:r>
      <w:r w:rsidRPr="00074D83">
        <w:rPr>
          <w:rFonts w:ascii="Times New Roman" w:eastAsia="Times New Roman" w:hAnsi="Times New Roman" w:cs="Times New Roman"/>
          <w:i/>
          <w:sz w:val="24"/>
          <w:szCs w:val="20"/>
          <w:lang w:eastAsia="es-ES"/>
        </w:rPr>
        <w:t>acciones judiciales oportunas para la recuperación efectiva de la posesión antes de cumplirse el plazo para considerar la vivienda vacía</w:t>
      </w:r>
      <w:r w:rsidRPr="00074D83">
        <w:rPr>
          <w:rFonts w:ascii="Times New Roman" w:eastAsia="Times New Roman" w:hAnsi="Times New Roman" w:cs="Times New Roman"/>
          <w:sz w:val="24"/>
          <w:szCs w:val="20"/>
          <w:lang w:eastAsia="es-ES"/>
        </w:rPr>
        <w:t xml:space="preserve">». </w:t>
      </w:r>
    </w:p>
    <w:p w:rsidR="00F86927" w:rsidRDefault="00682530" w:rsidP="00074D83">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TC desestima, en los fundamentos segundo, tercero y cuarto, los argumentos de los recurrentes relativos a la invalidez de</w:t>
      </w:r>
      <w:r w:rsidR="00074D83">
        <w:rPr>
          <w:rFonts w:ascii="Times New Roman" w:eastAsia="Times New Roman" w:hAnsi="Times New Roman" w:cs="Times New Roman"/>
          <w:sz w:val="24"/>
          <w:szCs w:val="20"/>
          <w:lang w:eastAsia="es-ES"/>
        </w:rPr>
        <w:t xml:space="preserve">l acuerdo de validación del DL 1/2020, </w:t>
      </w:r>
      <w:r>
        <w:rPr>
          <w:rFonts w:ascii="Times New Roman" w:eastAsia="Times New Roman" w:hAnsi="Times New Roman" w:cs="Times New Roman"/>
          <w:sz w:val="24"/>
          <w:szCs w:val="20"/>
          <w:lang w:eastAsia="es-ES"/>
        </w:rPr>
        <w:t xml:space="preserve">y </w:t>
      </w:r>
      <w:r w:rsidR="00074D83">
        <w:rPr>
          <w:rFonts w:ascii="Times New Roman" w:eastAsia="Times New Roman" w:hAnsi="Times New Roman" w:cs="Times New Roman"/>
          <w:sz w:val="24"/>
          <w:szCs w:val="20"/>
          <w:lang w:eastAsia="es-ES"/>
        </w:rPr>
        <w:t xml:space="preserve">el presupuesto habilitante del DL 17/2019, </w:t>
      </w:r>
      <w:r>
        <w:rPr>
          <w:rFonts w:ascii="Times New Roman" w:eastAsia="Times New Roman" w:hAnsi="Times New Roman" w:cs="Times New Roman"/>
          <w:sz w:val="24"/>
          <w:szCs w:val="20"/>
          <w:lang w:eastAsia="es-ES"/>
        </w:rPr>
        <w:t xml:space="preserve">esto es, </w:t>
      </w:r>
      <w:r w:rsidR="00074D83">
        <w:rPr>
          <w:rFonts w:ascii="Times New Roman" w:eastAsia="Times New Roman" w:hAnsi="Times New Roman" w:cs="Times New Roman"/>
          <w:sz w:val="24"/>
          <w:szCs w:val="20"/>
          <w:lang w:eastAsia="es-ES"/>
        </w:rPr>
        <w:t>la definición explícita y razonada de la situación de necesidad extraordinaria y urgente</w:t>
      </w:r>
      <w:r>
        <w:rPr>
          <w:rFonts w:ascii="Times New Roman" w:eastAsia="Times New Roman" w:hAnsi="Times New Roman" w:cs="Times New Roman"/>
          <w:sz w:val="24"/>
          <w:szCs w:val="20"/>
          <w:lang w:eastAsia="es-ES"/>
        </w:rPr>
        <w:t xml:space="preserve"> y, en conexión con ello, </w:t>
      </w:r>
      <w:r w:rsidR="00074D83" w:rsidRPr="00074D83">
        <w:rPr>
          <w:rFonts w:ascii="Times New Roman" w:eastAsia="Times New Roman" w:hAnsi="Times New Roman" w:cs="Times New Roman"/>
          <w:sz w:val="24"/>
          <w:szCs w:val="20"/>
          <w:lang w:eastAsia="es-ES"/>
        </w:rPr>
        <w:t>las</w:t>
      </w:r>
      <w:r>
        <w:rPr>
          <w:rFonts w:ascii="Times New Roman" w:eastAsia="Times New Roman" w:hAnsi="Times New Roman" w:cs="Times New Roman"/>
          <w:sz w:val="24"/>
          <w:szCs w:val="20"/>
          <w:lang w:eastAsia="es-ES"/>
        </w:rPr>
        <w:t xml:space="preserve"> </w:t>
      </w:r>
      <w:r w:rsidR="00074D83" w:rsidRPr="00074D83">
        <w:rPr>
          <w:rFonts w:ascii="Times New Roman" w:eastAsia="Times New Roman" w:hAnsi="Times New Roman" w:cs="Times New Roman"/>
          <w:sz w:val="24"/>
          <w:szCs w:val="20"/>
          <w:lang w:eastAsia="es-ES"/>
        </w:rPr>
        <w:t>medidas aprobadas con la situación de necesidad extraordinaria y urgente descrita.</w:t>
      </w:r>
    </w:p>
    <w:p w:rsidR="00074D83" w:rsidRDefault="00682530"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fundamento de derecho 5 examina la vulneración de los límites materiales de los decretos-leyes por “afectar” el Decreto-ley 17/2019 al derecho de propiedad reconocido en el art. 33 CE.</w:t>
      </w:r>
    </w:p>
    <w:p w:rsidR="00682530" w:rsidRDefault="00682530"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Según los recurrentes, </w:t>
      </w:r>
      <w:r w:rsidRPr="00682530">
        <w:rPr>
          <w:rFonts w:ascii="Times New Roman" w:eastAsia="Times New Roman" w:hAnsi="Times New Roman" w:cs="Times New Roman"/>
          <w:sz w:val="24"/>
          <w:szCs w:val="20"/>
          <w:lang w:eastAsia="es-ES"/>
        </w:rPr>
        <w:t xml:space="preserve">el Decreto-ley </w:t>
      </w:r>
      <w:r>
        <w:rPr>
          <w:rFonts w:ascii="Times New Roman" w:eastAsia="Times New Roman" w:hAnsi="Times New Roman" w:cs="Times New Roman"/>
          <w:sz w:val="24"/>
          <w:szCs w:val="20"/>
          <w:lang w:eastAsia="es-ES"/>
        </w:rPr>
        <w:t>en su conjunto</w:t>
      </w:r>
      <w:r w:rsidRPr="00682530">
        <w:rPr>
          <w:rFonts w:ascii="Times New Roman" w:eastAsia="Times New Roman" w:hAnsi="Times New Roman" w:cs="Times New Roman"/>
          <w:sz w:val="24"/>
          <w:szCs w:val="20"/>
          <w:lang w:eastAsia="es-ES"/>
        </w:rPr>
        <w:t xml:space="preserve">, y </w:t>
      </w:r>
      <w:r>
        <w:rPr>
          <w:rFonts w:ascii="Times New Roman" w:eastAsia="Times New Roman" w:hAnsi="Times New Roman" w:cs="Times New Roman"/>
          <w:sz w:val="24"/>
          <w:szCs w:val="20"/>
          <w:lang w:eastAsia="es-ES"/>
        </w:rPr>
        <w:t xml:space="preserve">los artículos citados expresamente </w:t>
      </w:r>
      <w:r w:rsidRPr="00682530">
        <w:rPr>
          <w:rFonts w:ascii="Times New Roman" w:eastAsia="Times New Roman" w:hAnsi="Times New Roman" w:cs="Times New Roman"/>
          <w:sz w:val="24"/>
          <w:szCs w:val="20"/>
          <w:lang w:eastAsia="es-ES"/>
        </w:rPr>
        <w:t xml:space="preserve">regulan el </w:t>
      </w:r>
      <w:r>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i/>
          <w:sz w:val="24"/>
          <w:szCs w:val="20"/>
          <w:lang w:eastAsia="es-ES"/>
        </w:rPr>
        <w:t>régimen general</w:t>
      </w:r>
      <w:r>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 xml:space="preserve"> del derecho de propiedad, incidiendo de manera</w:t>
      </w:r>
      <w:r>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«clara y directa» en su «contenido esencial» («facultades inherentes» y «función social»)</w:t>
      </w:r>
      <w:r>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 xml:space="preserve">rebasando el ámbito permitido por el art. 86.1 CE. </w:t>
      </w:r>
      <w:r>
        <w:rPr>
          <w:rFonts w:ascii="Times New Roman" w:eastAsia="Times New Roman" w:hAnsi="Times New Roman" w:cs="Times New Roman"/>
          <w:sz w:val="24"/>
          <w:szCs w:val="20"/>
          <w:lang w:eastAsia="es-ES"/>
        </w:rPr>
        <w:t>Para ello, impugnan dos grupos de preceptos:</w:t>
      </w:r>
    </w:p>
    <w:p w:rsidR="004C6BC2" w:rsidRDefault="004C6BC2" w:rsidP="004C6BC2">
      <w:pPr>
        <w:pStyle w:val="Prrafodelista"/>
        <w:numPr>
          <w:ilvl w:val="0"/>
          <w:numId w:val="33"/>
        </w:numPr>
        <w:tabs>
          <w:tab w:val="left" w:pos="-2268"/>
        </w:tabs>
        <w:spacing w:before="240" w:after="0" w:line="36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00682530" w:rsidRPr="004C6BC2">
        <w:rPr>
          <w:rFonts w:ascii="Times New Roman" w:eastAsia="Times New Roman" w:hAnsi="Times New Roman" w:cs="Times New Roman"/>
          <w:sz w:val="24"/>
          <w:szCs w:val="20"/>
          <w:lang w:eastAsia="es-ES"/>
        </w:rPr>
        <w:t>n primer lugar, el art. 2.1</w:t>
      </w:r>
      <w:r w:rsidR="0093245F">
        <w:rPr>
          <w:rStyle w:val="Refdenotaalpie"/>
          <w:rFonts w:ascii="Times New Roman" w:eastAsia="Times New Roman" w:hAnsi="Times New Roman" w:cs="Times New Roman"/>
          <w:sz w:val="24"/>
          <w:szCs w:val="20"/>
          <w:lang w:eastAsia="es-ES"/>
        </w:rPr>
        <w:footnoteReference w:id="1"/>
      </w:r>
      <w:r w:rsidR="00682530" w:rsidRPr="004C6BC2">
        <w:rPr>
          <w:rFonts w:ascii="Times New Roman" w:eastAsia="Times New Roman" w:hAnsi="Times New Roman" w:cs="Times New Roman"/>
          <w:sz w:val="24"/>
          <w:szCs w:val="20"/>
          <w:lang w:eastAsia="es-ES"/>
        </w:rPr>
        <w:t xml:space="preserve"> (definición de “</w:t>
      </w:r>
      <w:r w:rsidR="00682530" w:rsidRPr="004C6BC2">
        <w:rPr>
          <w:rFonts w:ascii="Times New Roman" w:eastAsia="Times New Roman" w:hAnsi="Times New Roman" w:cs="Times New Roman"/>
          <w:i/>
          <w:sz w:val="24"/>
          <w:szCs w:val="20"/>
          <w:lang w:eastAsia="es-ES"/>
        </w:rPr>
        <w:t>vivienda vacía</w:t>
      </w:r>
      <w:r w:rsidR="00682530" w:rsidRPr="004C6BC2">
        <w:rPr>
          <w:rFonts w:ascii="Times New Roman" w:eastAsia="Times New Roman" w:hAnsi="Times New Roman" w:cs="Times New Roman"/>
          <w:sz w:val="24"/>
          <w:szCs w:val="20"/>
          <w:lang w:eastAsia="es-ES"/>
        </w:rPr>
        <w:t>” a los efectos de la Ley del derecho a la vivienda de 2007), que «</w:t>
      </w:r>
      <w:r w:rsidR="00682530" w:rsidRPr="004C6BC2">
        <w:rPr>
          <w:rFonts w:ascii="Times New Roman" w:eastAsia="Times New Roman" w:hAnsi="Times New Roman" w:cs="Times New Roman"/>
          <w:i/>
          <w:sz w:val="24"/>
          <w:szCs w:val="20"/>
          <w:lang w:eastAsia="es-ES"/>
        </w:rPr>
        <w:t xml:space="preserve">imposibilita el normal ejercicio de la potestad reivindicatoria» que corresponde a todo propietario. Esta primera parte de la impugnación se extiende luego a todos aquellos preceptos «que regulan las consecuencias derivadas del incumplimiento de la función </w:t>
      </w:r>
      <w:r w:rsidR="00682530" w:rsidRPr="004C6BC2">
        <w:rPr>
          <w:rFonts w:ascii="Times New Roman" w:eastAsia="Times New Roman" w:hAnsi="Times New Roman" w:cs="Times New Roman"/>
          <w:i/>
          <w:sz w:val="24"/>
          <w:szCs w:val="20"/>
          <w:lang w:eastAsia="es-ES"/>
        </w:rPr>
        <w:lastRenderedPageBreak/>
        <w:t>social de la propiedad […] particularmente los artículos 2.1, 2.2</w:t>
      </w:r>
      <w:r w:rsidR="0093245F">
        <w:rPr>
          <w:rStyle w:val="Refdenotaalpie"/>
          <w:rFonts w:ascii="Times New Roman" w:eastAsia="Times New Roman" w:hAnsi="Times New Roman" w:cs="Times New Roman"/>
          <w:i/>
          <w:sz w:val="24"/>
          <w:szCs w:val="20"/>
          <w:lang w:eastAsia="es-ES"/>
        </w:rPr>
        <w:footnoteReference w:id="2"/>
      </w:r>
      <w:r w:rsidR="00682530" w:rsidRPr="004C6BC2">
        <w:rPr>
          <w:rFonts w:ascii="Times New Roman" w:eastAsia="Times New Roman" w:hAnsi="Times New Roman" w:cs="Times New Roman"/>
          <w:i/>
          <w:sz w:val="24"/>
          <w:szCs w:val="20"/>
          <w:lang w:eastAsia="es-ES"/>
        </w:rPr>
        <w:t>, 2.3</w:t>
      </w:r>
      <w:r w:rsidR="00376E93">
        <w:rPr>
          <w:rStyle w:val="Refdenotaalpie"/>
          <w:rFonts w:ascii="Times New Roman" w:eastAsia="Times New Roman" w:hAnsi="Times New Roman" w:cs="Times New Roman"/>
          <w:i/>
          <w:sz w:val="24"/>
          <w:szCs w:val="20"/>
          <w:lang w:eastAsia="es-ES"/>
        </w:rPr>
        <w:footnoteReference w:id="3"/>
      </w:r>
      <w:r w:rsidR="00682530" w:rsidRPr="004C6BC2">
        <w:rPr>
          <w:rFonts w:ascii="Times New Roman" w:eastAsia="Times New Roman" w:hAnsi="Times New Roman" w:cs="Times New Roman"/>
          <w:i/>
          <w:sz w:val="24"/>
          <w:szCs w:val="20"/>
          <w:lang w:eastAsia="es-ES"/>
        </w:rPr>
        <w:t>, 2.4</w:t>
      </w:r>
      <w:r w:rsidR="00376E93">
        <w:rPr>
          <w:rStyle w:val="Refdenotaalpie"/>
          <w:rFonts w:ascii="Times New Roman" w:eastAsia="Times New Roman" w:hAnsi="Times New Roman" w:cs="Times New Roman"/>
          <w:i/>
          <w:sz w:val="24"/>
          <w:szCs w:val="20"/>
          <w:lang w:eastAsia="es-ES"/>
        </w:rPr>
        <w:footnoteReference w:id="4"/>
      </w:r>
      <w:r w:rsidR="00682530" w:rsidRPr="004C6BC2">
        <w:rPr>
          <w:rFonts w:ascii="Times New Roman" w:eastAsia="Times New Roman" w:hAnsi="Times New Roman" w:cs="Times New Roman"/>
          <w:i/>
          <w:sz w:val="24"/>
          <w:szCs w:val="20"/>
          <w:lang w:eastAsia="es-ES"/>
        </w:rPr>
        <w:t>, 2.5</w:t>
      </w:r>
      <w:r w:rsidR="00376E93">
        <w:rPr>
          <w:rStyle w:val="Refdenotaalpie"/>
          <w:rFonts w:ascii="Times New Roman" w:eastAsia="Times New Roman" w:hAnsi="Times New Roman" w:cs="Times New Roman"/>
          <w:i/>
          <w:sz w:val="24"/>
          <w:szCs w:val="20"/>
          <w:lang w:eastAsia="es-ES"/>
        </w:rPr>
        <w:footnoteReference w:id="5"/>
      </w:r>
      <w:r w:rsidR="00682530" w:rsidRPr="004C6BC2">
        <w:rPr>
          <w:rFonts w:ascii="Times New Roman" w:eastAsia="Times New Roman" w:hAnsi="Times New Roman" w:cs="Times New Roman"/>
          <w:i/>
          <w:sz w:val="24"/>
          <w:szCs w:val="20"/>
          <w:lang w:eastAsia="es-ES"/>
        </w:rPr>
        <w:t>, 2.7</w:t>
      </w:r>
      <w:r w:rsidR="00376E93">
        <w:rPr>
          <w:rStyle w:val="Refdenotaalpie"/>
          <w:rFonts w:ascii="Times New Roman" w:eastAsia="Times New Roman" w:hAnsi="Times New Roman" w:cs="Times New Roman"/>
          <w:i/>
          <w:sz w:val="24"/>
          <w:szCs w:val="20"/>
          <w:lang w:eastAsia="es-ES"/>
        </w:rPr>
        <w:footnoteReference w:id="6"/>
      </w:r>
      <w:r w:rsidR="00682530" w:rsidRPr="004C6BC2">
        <w:rPr>
          <w:rFonts w:ascii="Times New Roman" w:eastAsia="Times New Roman" w:hAnsi="Times New Roman" w:cs="Times New Roman"/>
          <w:i/>
          <w:sz w:val="24"/>
          <w:szCs w:val="20"/>
          <w:lang w:eastAsia="es-ES"/>
        </w:rPr>
        <w:t>, 2.8</w:t>
      </w:r>
      <w:r w:rsidR="00376E93">
        <w:rPr>
          <w:rStyle w:val="Refdenotaalpie"/>
          <w:rFonts w:ascii="Times New Roman" w:eastAsia="Times New Roman" w:hAnsi="Times New Roman" w:cs="Times New Roman"/>
          <w:i/>
          <w:sz w:val="24"/>
          <w:szCs w:val="20"/>
          <w:lang w:eastAsia="es-ES"/>
        </w:rPr>
        <w:footnoteReference w:id="7"/>
      </w:r>
      <w:r w:rsidR="00682530" w:rsidRPr="004C6BC2">
        <w:rPr>
          <w:rFonts w:ascii="Times New Roman" w:eastAsia="Times New Roman" w:hAnsi="Times New Roman" w:cs="Times New Roman"/>
          <w:i/>
          <w:sz w:val="24"/>
          <w:szCs w:val="20"/>
          <w:lang w:eastAsia="es-ES"/>
        </w:rPr>
        <w:t>, 2.9</w:t>
      </w:r>
      <w:r w:rsidR="005E0615">
        <w:rPr>
          <w:rStyle w:val="Refdenotaalpie"/>
          <w:rFonts w:ascii="Times New Roman" w:eastAsia="Times New Roman" w:hAnsi="Times New Roman" w:cs="Times New Roman"/>
          <w:i/>
          <w:sz w:val="24"/>
          <w:szCs w:val="20"/>
          <w:lang w:eastAsia="es-ES"/>
        </w:rPr>
        <w:footnoteReference w:id="8"/>
      </w:r>
      <w:r w:rsidR="00682530" w:rsidRPr="004C6BC2">
        <w:rPr>
          <w:rFonts w:ascii="Times New Roman" w:eastAsia="Times New Roman" w:hAnsi="Times New Roman" w:cs="Times New Roman"/>
          <w:i/>
          <w:sz w:val="24"/>
          <w:szCs w:val="20"/>
          <w:lang w:eastAsia="es-ES"/>
        </w:rPr>
        <w:t>, 2.10</w:t>
      </w:r>
      <w:r w:rsidR="005E0615">
        <w:rPr>
          <w:rStyle w:val="Refdenotaalpie"/>
          <w:rFonts w:ascii="Times New Roman" w:eastAsia="Times New Roman" w:hAnsi="Times New Roman" w:cs="Times New Roman"/>
          <w:i/>
          <w:sz w:val="24"/>
          <w:szCs w:val="20"/>
          <w:lang w:eastAsia="es-ES"/>
        </w:rPr>
        <w:footnoteReference w:id="9"/>
      </w:r>
      <w:r w:rsidR="00682530" w:rsidRPr="004C6BC2">
        <w:rPr>
          <w:rFonts w:ascii="Times New Roman" w:eastAsia="Times New Roman" w:hAnsi="Times New Roman" w:cs="Times New Roman"/>
          <w:i/>
          <w:sz w:val="24"/>
          <w:szCs w:val="20"/>
          <w:lang w:eastAsia="es-ES"/>
        </w:rPr>
        <w:t>, 2.11</w:t>
      </w:r>
      <w:r w:rsidR="005E0615">
        <w:rPr>
          <w:rStyle w:val="Refdenotaalpie"/>
          <w:rFonts w:ascii="Times New Roman" w:eastAsia="Times New Roman" w:hAnsi="Times New Roman" w:cs="Times New Roman"/>
          <w:i/>
          <w:sz w:val="24"/>
          <w:szCs w:val="20"/>
          <w:lang w:eastAsia="es-ES"/>
        </w:rPr>
        <w:footnoteReference w:id="10"/>
      </w:r>
      <w:r w:rsidR="00682530" w:rsidRPr="004C6BC2">
        <w:rPr>
          <w:rFonts w:ascii="Times New Roman" w:eastAsia="Times New Roman" w:hAnsi="Times New Roman" w:cs="Times New Roman"/>
          <w:i/>
          <w:sz w:val="24"/>
          <w:szCs w:val="20"/>
          <w:lang w:eastAsia="es-ES"/>
        </w:rPr>
        <w:t>, 2.12</w:t>
      </w:r>
      <w:r w:rsidR="008D2FFE">
        <w:rPr>
          <w:rStyle w:val="Refdenotaalpie"/>
          <w:rFonts w:ascii="Times New Roman" w:eastAsia="Times New Roman" w:hAnsi="Times New Roman" w:cs="Times New Roman"/>
          <w:i/>
          <w:sz w:val="24"/>
          <w:szCs w:val="20"/>
          <w:lang w:eastAsia="es-ES"/>
        </w:rPr>
        <w:footnoteReference w:id="11"/>
      </w:r>
      <w:r w:rsidR="00682530" w:rsidRPr="004C6BC2">
        <w:rPr>
          <w:rFonts w:ascii="Times New Roman" w:eastAsia="Times New Roman" w:hAnsi="Times New Roman" w:cs="Times New Roman"/>
          <w:i/>
          <w:sz w:val="24"/>
          <w:szCs w:val="20"/>
          <w:lang w:eastAsia="es-ES"/>
        </w:rPr>
        <w:t xml:space="preserve"> y 5.5</w:t>
      </w:r>
      <w:r w:rsidR="00E61965">
        <w:rPr>
          <w:rStyle w:val="Refdenotaalpie"/>
          <w:rFonts w:ascii="Times New Roman" w:eastAsia="Times New Roman" w:hAnsi="Times New Roman" w:cs="Times New Roman"/>
          <w:i/>
          <w:sz w:val="24"/>
          <w:szCs w:val="20"/>
          <w:lang w:eastAsia="es-ES"/>
        </w:rPr>
        <w:footnoteReference w:id="12"/>
      </w:r>
      <w:r w:rsidR="00682530" w:rsidRPr="004C6BC2">
        <w:rPr>
          <w:rFonts w:ascii="Times New Roman" w:eastAsia="Times New Roman" w:hAnsi="Times New Roman" w:cs="Times New Roman"/>
          <w:sz w:val="24"/>
          <w:szCs w:val="20"/>
          <w:lang w:eastAsia="es-ES"/>
        </w:rPr>
        <w:t>».</w:t>
      </w:r>
      <w:r>
        <w:rPr>
          <w:rFonts w:ascii="Times New Roman" w:eastAsia="Times New Roman" w:hAnsi="Times New Roman" w:cs="Times New Roman"/>
          <w:sz w:val="24"/>
          <w:szCs w:val="20"/>
          <w:lang w:eastAsia="es-ES"/>
        </w:rPr>
        <w:t xml:space="preserve"> </w:t>
      </w:r>
    </w:p>
    <w:p w:rsidR="004C6BC2" w:rsidRDefault="004C6BC2" w:rsidP="004C6BC2">
      <w:pPr>
        <w:pStyle w:val="Prrafodelista"/>
        <w:tabs>
          <w:tab w:val="left" w:pos="-2268"/>
        </w:tabs>
        <w:spacing w:before="240" w:after="0" w:line="360" w:lineRule="auto"/>
        <w:ind w:left="106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Después de analizar el contenido de cada uno de los artículos cuestionados, el TC</w:t>
      </w:r>
      <w:r w:rsidRPr="004C6BC2">
        <w:rPr>
          <w:rFonts w:ascii="Times New Roman" w:eastAsia="Times New Roman" w:hAnsi="Times New Roman" w:cs="Times New Roman"/>
          <w:sz w:val="24"/>
          <w:szCs w:val="20"/>
          <w:lang w:eastAsia="es-ES"/>
        </w:rPr>
        <w:t xml:space="preserve"> aclara que </w:t>
      </w:r>
    </w:p>
    <w:p w:rsidR="004C6BC2" w:rsidRPr="004C6BC2" w:rsidRDefault="004C6BC2" w:rsidP="004C6BC2">
      <w:pPr>
        <w:pStyle w:val="Prrafodelista"/>
        <w:tabs>
          <w:tab w:val="left" w:pos="-2268"/>
        </w:tabs>
        <w:spacing w:before="240" w:after="0" w:line="360" w:lineRule="auto"/>
        <w:ind w:left="1069"/>
        <w:jc w:val="both"/>
        <w:rPr>
          <w:rFonts w:ascii="Times New Roman" w:eastAsia="Times New Roman" w:hAnsi="Times New Roman" w:cs="Times New Roman"/>
          <w:i/>
          <w:sz w:val="20"/>
          <w:szCs w:val="20"/>
          <w:lang w:eastAsia="es-ES"/>
        </w:rPr>
      </w:pPr>
      <w:r w:rsidRPr="004C6BC2">
        <w:rPr>
          <w:rFonts w:ascii="Times New Roman" w:eastAsia="Times New Roman" w:hAnsi="Times New Roman" w:cs="Times New Roman"/>
          <w:i/>
          <w:sz w:val="20"/>
          <w:szCs w:val="20"/>
          <w:lang w:eastAsia="es-ES"/>
        </w:rPr>
        <w:t xml:space="preserve">“(…), estos preceptos regulan la competencia para declarar el incumplimiento de la función social de la propiedad, que corresponde al Departamento competente en materia de vivienda del Gobierno de la Generalitat y a los ayuntamientos (art. 2.8, que modifica el art. 41.3 de la Ley del derecho a la vivienda), y las potestades que desencadena esa declaración, que pueden ser de «fomento para potenciar la incorporación al mercado, preferentemente de alquiler, de las viviendas vacías o permanentemente desocupadas» (art. 2.9, que modifica el art. 42.1 de la Ley del derecho a la vivienda), o de carácter coactivo. Estas últimas son de tres tipos: en primer lugar, requerimientos para que «se ocupe legal y efectivamente la vivienda con el fin de que constituya la residencia de personas» (arts. 2.5, 2.8, 2.10 y 2.11), cuyo incumplimiento es constitutivo de infracción muy grave (art. 2.12). En segundo lugar, y con independencia de la sanción que pueda imponerse por ese incumplimiento, la «ejecución forzosa» del requerimiento mediante la imposición de «multas coercitivas» periódicas, con un importe máximo total del 50 por 100 del precio estimado de la vivienda (arts. 2.10 y 2.11). </w:t>
      </w:r>
      <w:r w:rsidR="00486CE3" w:rsidRPr="004C6BC2">
        <w:rPr>
          <w:rFonts w:ascii="Times New Roman" w:eastAsia="Times New Roman" w:hAnsi="Times New Roman" w:cs="Times New Roman"/>
          <w:i/>
          <w:sz w:val="20"/>
          <w:szCs w:val="20"/>
          <w:lang w:eastAsia="es-ES"/>
        </w:rPr>
        <w:t>Y,</w:t>
      </w:r>
      <w:r w:rsidRPr="004C6BC2">
        <w:rPr>
          <w:rFonts w:ascii="Times New Roman" w:eastAsia="Times New Roman" w:hAnsi="Times New Roman" w:cs="Times New Roman"/>
          <w:i/>
          <w:sz w:val="20"/>
          <w:szCs w:val="20"/>
          <w:lang w:eastAsia="es-ES"/>
        </w:rPr>
        <w:t xml:space="preserve"> en tercer lugar, la expropiación de la vivienda (arts. 2.4 y 2.5) o la cesión obligatoria de su uso por tres años (art. 5.5)</w:t>
      </w:r>
      <w:r w:rsidR="00486CE3">
        <w:rPr>
          <w:rFonts w:ascii="Times New Roman" w:eastAsia="Times New Roman" w:hAnsi="Times New Roman" w:cs="Times New Roman"/>
          <w:i/>
          <w:sz w:val="20"/>
          <w:szCs w:val="20"/>
          <w:lang w:eastAsia="es-ES"/>
        </w:rPr>
        <w:t>”</w:t>
      </w:r>
      <w:r w:rsidRPr="004C6BC2">
        <w:rPr>
          <w:rFonts w:ascii="Times New Roman" w:eastAsia="Times New Roman" w:hAnsi="Times New Roman" w:cs="Times New Roman"/>
          <w:i/>
          <w:sz w:val="20"/>
          <w:szCs w:val="20"/>
          <w:lang w:eastAsia="es-ES"/>
        </w:rPr>
        <w:t>.</w:t>
      </w:r>
    </w:p>
    <w:p w:rsidR="004C6BC2" w:rsidRDefault="00682530" w:rsidP="00486CE3">
      <w:pPr>
        <w:pStyle w:val="Default"/>
        <w:numPr>
          <w:ilvl w:val="0"/>
          <w:numId w:val="33"/>
        </w:numPr>
        <w:tabs>
          <w:tab w:val="left" w:pos="-2268"/>
        </w:tabs>
        <w:spacing w:before="240" w:line="360" w:lineRule="auto"/>
        <w:jc w:val="both"/>
        <w:rPr>
          <w:rFonts w:ascii="Times New Roman" w:eastAsia="Times New Roman" w:hAnsi="Times New Roman" w:cs="Times New Roman"/>
          <w:szCs w:val="20"/>
          <w:lang w:eastAsia="es-ES"/>
        </w:rPr>
      </w:pPr>
      <w:r w:rsidRPr="004C6BC2">
        <w:rPr>
          <w:rFonts w:ascii="Times New Roman" w:eastAsia="Times New Roman" w:hAnsi="Times New Roman" w:cs="Times New Roman"/>
          <w:szCs w:val="20"/>
          <w:lang w:eastAsia="es-ES"/>
        </w:rPr>
        <w:lastRenderedPageBreak/>
        <w:t>En segundo lugar, sobre los arts. 4.2</w:t>
      </w:r>
      <w:r w:rsidR="00E61965">
        <w:rPr>
          <w:rStyle w:val="Refdenotaalpie"/>
          <w:rFonts w:ascii="Times New Roman" w:eastAsia="Times New Roman" w:hAnsi="Times New Roman" w:cs="Times New Roman"/>
          <w:szCs w:val="20"/>
          <w:lang w:eastAsia="es-ES"/>
        </w:rPr>
        <w:footnoteReference w:id="13"/>
      </w:r>
      <w:r w:rsidRPr="004C6BC2">
        <w:rPr>
          <w:rFonts w:ascii="Times New Roman" w:eastAsia="Times New Roman" w:hAnsi="Times New Roman" w:cs="Times New Roman"/>
          <w:szCs w:val="20"/>
          <w:lang w:eastAsia="es-ES"/>
        </w:rPr>
        <w:t>, 5.6</w:t>
      </w:r>
      <w:r w:rsidR="00321D4B">
        <w:rPr>
          <w:rStyle w:val="Refdenotaalpie"/>
          <w:rFonts w:ascii="Times New Roman" w:eastAsia="Times New Roman" w:hAnsi="Times New Roman" w:cs="Times New Roman"/>
          <w:szCs w:val="20"/>
          <w:lang w:eastAsia="es-ES"/>
        </w:rPr>
        <w:footnoteReference w:id="14"/>
      </w:r>
      <w:r w:rsidRPr="004C6BC2">
        <w:rPr>
          <w:rFonts w:ascii="Times New Roman" w:eastAsia="Times New Roman" w:hAnsi="Times New Roman" w:cs="Times New Roman"/>
          <w:szCs w:val="20"/>
          <w:lang w:eastAsia="es-ES"/>
        </w:rPr>
        <w:t>, 5.7</w:t>
      </w:r>
      <w:r w:rsidR="00321D4B">
        <w:rPr>
          <w:rStyle w:val="Refdenotaalpie"/>
          <w:rFonts w:ascii="Times New Roman" w:eastAsia="Times New Roman" w:hAnsi="Times New Roman" w:cs="Times New Roman"/>
          <w:szCs w:val="20"/>
          <w:lang w:eastAsia="es-ES"/>
        </w:rPr>
        <w:footnoteReference w:id="15"/>
      </w:r>
      <w:r w:rsidRPr="004C6BC2">
        <w:rPr>
          <w:rFonts w:ascii="Times New Roman" w:eastAsia="Times New Roman" w:hAnsi="Times New Roman" w:cs="Times New Roman"/>
          <w:szCs w:val="20"/>
          <w:lang w:eastAsia="es-ES"/>
        </w:rPr>
        <w:t xml:space="preserve"> y 6.6</w:t>
      </w:r>
      <w:r w:rsidR="00321D4B">
        <w:rPr>
          <w:rStyle w:val="Refdenotaalpie"/>
          <w:rFonts w:ascii="Times New Roman" w:eastAsia="Times New Roman" w:hAnsi="Times New Roman" w:cs="Times New Roman"/>
          <w:szCs w:val="20"/>
          <w:lang w:eastAsia="es-ES"/>
        </w:rPr>
        <w:footnoteReference w:id="16"/>
      </w:r>
      <w:r w:rsidRPr="004C6BC2">
        <w:rPr>
          <w:rFonts w:ascii="Times New Roman" w:eastAsia="Times New Roman" w:hAnsi="Times New Roman" w:cs="Times New Roman"/>
          <w:szCs w:val="20"/>
          <w:lang w:eastAsia="es-ES"/>
        </w:rPr>
        <w:t>, que al</w:t>
      </w:r>
      <w:r w:rsidR="004C6BC2" w:rsidRPr="004C6BC2">
        <w:rPr>
          <w:rFonts w:ascii="Times New Roman" w:eastAsia="Times New Roman" w:hAnsi="Times New Roman" w:cs="Times New Roman"/>
          <w:szCs w:val="20"/>
          <w:lang w:eastAsia="es-ES"/>
        </w:rPr>
        <w:t xml:space="preserve"> </w:t>
      </w:r>
      <w:r w:rsidRPr="004C6BC2">
        <w:rPr>
          <w:rFonts w:ascii="Times New Roman" w:eastAsia="Times New Roman" w:hAnsi="Times New Roman" w:cs="Times New Roman"/>
          <w:szCs w:val="20"/>
          <w:lang w:eastAsia="es-ES"/>
        </w:rPr>
        <w:t>establecer «</w:t>
      </w:r>
      <w:r w:rsidRPr="004C6BC2">
        <w:rPr>
          <w:rFonts w:ascii="Times New Roman" w:eastAsia="Times New Roman" w:hAnsi="Times New Roman" w:cs="Times New Roman"/>
          <w:i/>
          <w:szCs w:val="20"/>
          <w:lang w:eastAsia="es-ES"/>
        </w:rPr>
        <w:t>nuevas condiciones y supuestos de aplicación» al contrato forzoso de</w:t>
      </w:r>
      <w:r w:rsidR="004C6BC2" w:rsidRPr="004C6BC2">
        <w:rPr>
          <w:rFonts w:ascii="Times New Roman" w:eastAsia="Times New Roman" w:hAnsi="Times New Roman" w:cs="Times New Roman"/>
          <w:i/>
          <w:szCs w:val="20"/>
          <w:lang w:eastAsia="es-ES"/>
        </w:rPr>
        <w:t xml:space="preserve"> </w:t>
      </w:r>
      <w:r w:rsidRPr="004C6BC2">
        <w:rPr>
          <w:rFonts w:ascii="Times New Roman" w:eastAsia="Times New Roman" w:hAnsi="Times New Roman" w:cs="Times New Roman"/>
          <w:i/>
          <w:szCs w:val="20"/>
          <w:lang w:eastAsia="es-ES"/>
        </w:rPr>
        <w:t>alquiler social «limitan» la facultad de disposición que igualmente corresponde a todo</w:t>
      </w:r>
      <w:r w:rsidR="004C6BC2" w:rsidRPr="004C6BC2">
        <w:rPr>
          <w:rFonts w:ascii="Times New Roman" w:eastAsia="Times New Roman" w:hAnsi="Times New Roman" w:cs="Times New Roman"/>
          <w:i/>
          <w:szCs w:val="20"/>
          <w:lang w:eastAsia="es-ES"/>
        </w:rPr>
        <w:t xml:space="preserve"> </w:t>
      </w:r>
      <w:r w:rsidRPr="004C6BC2">
        <w:rPr>
          <w:rFonts w:ascii="Times New Roman" w:eastAsia="Times New Roman" w:hAnsi="Times New Roman" w:cs="Times New Roman"/>
          <w:i/>
          <w:szCs w:val="20"/>
          <w:lang w:eastAsia="es-ES"/>
        </w:rPr>
        <w:t>propietario, «configurando las consecuencias de [la] inobservancia» de esta obligación</w:t>
      </w:r>
      <w:r w:rsidR="004C6BC2" w:rsidRPr="004C6BC2">
        <w:rPr>
          <w:rFonts w:ascii="Times New Roman" w:eastAsia="Times New Roman" w:hAnsi="Times New Roman" w:cs="Times New Roman"/>
          <w:i/>
          <w:szCs w:val="20"/>
          <w:lang w:eastAsia="es-ES"/>
        </w:rPr>
        <w:t xml:space="preserve"> </w:t>
      </w:r>
      <w:r w:rsidRPr="004C6BC2">
        <w:rPr>
          <w:rFonts w:ascii="Times New Roman" w:eastAsia="Times New Roman" w:hAnsi="Times New Roman" w:cs="Times New Roman"/>
          <w:i/>
          <w:szCs w:val="20"/>
          <w:lang w:eastAsia="es-ES"/>
        </w:rPr>
        <w:t>incidiendo así en «elementos esenciales que conforman el derecho de propiedad</w:t>
      </w:r>
      <w:r w:rsidRPr="004C6BC2">
        <w:rPr>
          <w:rFonts w:ascii="Times New Roman" w:eastAsia="Times New Roman" w:hAnsi="Times New Roman" w:cs="Times New Roman"/>
          <w:szCs w:val="20"/>
          <w:lang w:eastAsia="es-ES"/>
        </w:rPr>
        <w:t xml:space="preserve">». </w:t>
      </w:r>
      <w:r w:rsidR="00486CE3">
        <w:rPr>
          <w:rFonts w:ascii="Times New Roman" w:eastAsia="Times New Roman" w:hAnsi="Times New Roman" w:cs="Times New Roman"/>
          <w:szCs w:val="20"/>
          <w:lang w:eastAsia="es-ES"/>
        </w:rPr>
        <w:t>C</w:t>
      </w:r>
      <w:r w:rsidR="00486CE3" w:rsidRPr="00486CE3">
        <w:rPr>
          <w:rFonts w:ascii="Times New Roman" w:eastAsia="Times New Roman" w:hAnsi="Times New Roman" w:cs="Times New Roman"/>
          <w:szCs w:val="20"/>
          <w:lang w:eastAsia="es-ES"/>
        </w:rPr>
        <w:t>omprende los</w:t>
      </w:r>
      <w:r w:rsidR="00486CE3">
        <w:rPr>
          <w:rFonts w:ascii="Times New Roman" w:eastAsia="Times New Roman" w:hAnsi="Times New Roman" w:cs="Times New Roman"/>
          <w:szCs w:val="20"/>
          <w:lang w:eastAsia="es-ES"/>
        </w:rPr>
        <w:t xml:space="preserve"> artículos referidos</w:t>
      </w:r>
      <w:r w:rsidR="00486CE3" w:rsidRPr="00486CE3">
        <w:rPr>
          <w:rFonts w:ascii="Times New Roman" w:eastAsia="Times New Roman" w:hAnsi="Times New Roman" w:cs="Times New Roman"/>
          <w:szCs w:val="20"/>
          <w:lang w:eastAsia="es-ES"/>
        </w:rPr>
        <w:t xml:space="preserve"> a la obligación de los propietarios de ofrecer un alquiler social en determinadas circunstancias y condiciones, regulada en la Ley del Parlamento de Cataluña </w:t>
      </w:r>
      <w:r w:rsidR="00486CE3" w:rsidRPr="00486CE3">
        <w:rPr>
          <w:rFonts w:ascii="Times New Roman" w:eastAsia="Times New Roman" w:hAnsi="Times New Roman" w:cs="Times New Roman"/>
          <w:szCs w:val="20"/>
          <w:lang w:eastAsia="es-ES"/>
        </w:rPr>
        <w:lastRenderedPageBreak/>
        <w:t>24/2015, de 29 de julio, de medidas urgentes para afrontar la emergencia en el ámbito de la vivienda y la pobreza energética.</w:t>
      </w:r>
    </w:p>
    <w:p w:rsidR="00682530" w:rsidRDefault="00682530"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4C6BC2">
        <w:rPr>
          <w:rFonts w:ascii="Times New Roman" w:eastAsia="Times New Roman" w:hAnsi="Times New Roman" w:cs="Times New Roman"/>
          <w:sz w:val="24"/>
          <w:szCs w:val="20"/>
          <w:lang w:eastAsia="es-ES"/>
        </w:rPr>
        <w:t>E</w:t>
      </w:r>
      <w:r w:rsidR="004C6BC2">
        <w:rPr>
          <w:rFonts w:ascii="Times New Roman" w:eastAsia="Times New Roman" w:hAnsi="Times New Roman" w:cs="Times New Roman"/>
          <w:sz w:val="24"/>
          <w:szCs w:val="20"/>
          <w:lang w:eastAsia="es-ES"/>
        </w:rPr>
        <w:t>n ambos casos</w:t>
      </w:r>
      <w:r w:rsidR="00486CE3">
        <w:rPr>
          <w:rFonts w:ascii="Times New Roman" w:eastAsia="Times New Roman" w:hAnsi="Times New Roman" w:cs="Times New Roman"/>
          <w:sz w:val="24"/>
          <w:szCs w:val="20"/>
          <w:lang w:eastAsia="es-ES"/>
        </w:rPr>
        <w:t xml:space="preserve">, los recurrentes </w:t>
      </w:r>
      <w:r w:rsidR="004C6BC2">
        <w:rPr>
          <w:rFonts w:ascii="Times New Roman" w:eastAsia="Times New Roman" w:hAnsi="Times New Roman" w:cs="Times New Roman"/>
          <w:sz w:val="24"/>
          <w:szCs w:val="20"/>
          <w:lang w:eastAsia="es-ES"/>
        </w:rPr>
        <w:t>consideran que “</w:t>
      </w:r>
      <w:r w:rsidRPr="00682530">
        <w:rPr>
          <w:rFonts w:ascii="Times New Roman" w:eastAsia="Times New Roman" w:hAnsi="Times New Roman" w:cs="Times New Roman"/>
          <w:sz w:val="24"/>
          <w:szCs w:val="20"/>
          <w:lang w:eastAsia="es-ES"/>
        </w:rPr>
        <w:t>afectan tanto a la vertiente individual</w:t>
      </w:r>
      <w:r w:rsidR="004C6BC2">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como a la vertiente institucional del derecho de propiedad</w:t>
      </w:r>
      <w:r w:rsidR="004C6BC2">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 xml:space="preserve">, </w:t>
      </w:r>
      <w:r w:rsidR="004C6BC2">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limitan</w:t>
      </w:r>
      <w:r w:rsidR="004C6BC2">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 xml:space="preserve"> las dos facultades</w:t>
      </w:r>
      <w:r w:rsidR="004C6BC2">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 xml:space="preserve">dichas del propietario (reivindicación y disposición), y por tanto </w:t>
      </w:r>
      <w:r w:rsidR="004C6BC2">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rebasan</w:t>
      </w:r>
      <w:r w:rsidR="004C6BC2">
        <w:rPr>
          <w:rFonts w:ascii="Times New Roman" w:eastAsia="Times New Roman" w:hAnsi="Times New Roman" w:cs="Times New Roman"/>
          <w:sz w:val="24"/>
          <w:szCs w:val="20"/>
          <w:lang w:eastAsia="es-ES"/>
        </w:rPr>
        <w:t>”</w:t>
      </w:r>
      <w:r w:rsidRPr="00682530">
        <w:rPr>
          <w:rFonts w:ascii="Times New Roman" w:eastAsia="Times New Roman" w:hAnsi="Times New Roman" w:cs="Times New Roman"/>
          <w:sz w:val="24"/>
          <w:szCs w:val="20"/>
          <w:lang w:eastAsia="es-ES"/>
        </w:rPr>
        <w:t xml:space="preserve"> los límites</w:t>
      </w:r>
      <w:r w:rsidR="004C6BC2">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materiales del decreto-ley impuestos por los arts. 86.1 CE y 64.1 EAC y por tanto no</w:t>
      </w:r>
      <w:r w:rsidR="004C6BC2">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pueden ser objeto de regulación mediante la figura del decreto-ley, de conformidad con la</w:t>
      </w:r>
      <w:r w:rsidR="004C6BC2">
        <w:rPr>
          <w:rFonts w:ascii="Times New Roman" w:eastAsia="Times New Roman" w:hAnsi="Times New Roman" w:cs="Times New Roman"/>
          <w:sz w:val="24"/>
          <w:szCs w:val="20"/>
          <w:lang w:eastAsia="es-ES"/>
        </w:rPr>
        <w:t xml:space="preserve"> </w:t>
      </w:r>
      <w:r w:rsidRPr="00682530">
        <w:rPr>
          <w:rFonts w:ascii="Times New Roman" w:eastAsia="Times New Roman" w:hAnsi="Times New Roman" w:cs="Times New Roman"/>
          <w:sz w:val="24"/>
          <w:szCs w:val="20"/>
          <w:lang w:eastAsia="es-ES"/>
        </w:rPr>
        <w:t>doctrina de la STC 93/2015, de 14 de mayo, FJ 13, sobre una norma análoga</w:t>
      </w:r>
      <w:r w:rsidR="004C6BC2">
        <w:rPr>
          <w:rFonts w:ascii="Times New Roman" w:eastAsia="Times New Roman" w:hAnsi="Times New Roman" w:cs="Times New Roman"/>
          <w:sz w:val="24"/>
          <w:szCs w:val="20"/>
          <w:lang w:eastAsia="es-ES"/>
        </w:rPr>
        <w:t>.</w:t>
      </w:r>
    </w:p>
    <w:p w:rsidR="00682530" w:rsidRDefault="00486CE3"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fundamento jurídico 5, letras d) y e) hace un resumen de la jurisprudencia del TC sobre la regulación autonómica en materia de vivienda, para en la letra f) del mismo fundamento y dice:</w:t>
      </w:r>
    </w:p>
    <w:p w:rsidR="00486CE3" w:rsidRPr="00486CE3" w:rsidRDefault="00486CE3" w:rsidP="00486CE3">
      <w:pPr>
        <w:tabs>
          <w:tab w:val="left" w:pos="-2268"/>
        </w:tabs>
        <w:spacing w:before="240" w:after="0" w:line="360" w:lineRule="auto"/>
        <w:ind w:firstLine="709"/>
        <w:jc w:val="both"/>
        <w:rPr>
          <w:rFonts w:ascii="Times New Roman" w:eastAsia="Times New Roman" w:hAnsi="Times New Roman" w:cs="Times New Roman"/>
          <w:i/>
          <w:sz w:val="20"/>
          <w:szCs w:val="20"/>
          <w:lang w:eastAsia="es-ES"/>
        </w:rPr>
      </w:pPr>
      <w:r w:rsidRPr="00486CE3">
        <w:rPr>
          <w:rFonts w:ascii="Times New Roman" w:eastAsia="Times New Roman" w:hAnsi="Times New Roman" w:cs="Times New Roman"/>
          <w:i/>
          <w:sz w:val="20"/>
          <w:szCs w:val="20"/>
          <w:lang w:eastAsia="es-ES"/>
        </w:rPr>
        <w:t>“(…) Si proyectamos la precedente doctrina sobre los preceptos impugnados en esta parte del recurso, se comprueba que estos exceden del marco permitido a los decretos-leyes por la STC 93/2015. Los artículos objeto de este motivo, con las excepciones que se dirán, van más allá de «delimitar un concreto sistema urbanístico o una determinada política de vivienda», «disciplinar un sector material en el que dicho derecho constitucional [el de propiedad] pueda incidir», o de «ceñirse a precisar los usos posibles de las edificaciones según el lugar en que se ubiquen dentro de la ciudad o a disciplinar el sector de la vivienda», como permite la doctrina de la STC 93/2015, y se enderezan más bien a establecer «el único uso posible de un determinado tipo de bienes» mediante una «regulación directa y con vocación de generalidad de las vertientes individual e institucional del derecho de propiedad sobre la vivienda» que «se dirige a precisar el haz de facultades que integra este tipo de derecho de propiedad privada y, al mismo tiempo, a definir la función social del mismo». Y, sobre todo, van más allá de la regulación de las «medidas de fomento» que contenía el Decreto-ley de la Junta de Andalucía 6/2013.</w:t>
      </w:r>
    </w:p>
    <w:p w:rsidR="00682530" w:rsidRPr="004017F5" w:rsidRDefault="00486CE3" w:rsidP="00486CE3">
      <w:pPr>
        <w:tabs>
          <w:tab w:val="left" w:pos="-2268"/>
        </w:tabs>
        <w:spacing w:before="240" w:after="0" w:line="360" w:lineRule="auto"/>
        <w:ind w:firstLine="709"/>
        <w:jc w:val="both"/>
        <w:rPr>
          <w:rFonts w:ascii="Times New Roman" w:eastAsia="Times New Roman" w:hAnsi="Times New Roman" w:cs="Times New Roman"/>
          <w:sz w:val="20"/>
          <w:szCs w:val="20"/>
          <w:lang w:eastAsia="es-ES"/>
        </w:rPr>
      </w:pPr>
      <w:r w:rsidRPr="00486CE3">
        <w:rPr>
          <w:rFonts w:ascii="Times New Roman" w:eastAsia="Times New Roman" w:hAnsi="Times New Roman" w:cs="Times New Roman"/>
          <w:i/>
          <w:sz w:val="20"/>
          <w:szCs w:val="20"/>
          <w:lang w:eastAsia="es-ES"/>
        </w:rPr>
        <w:t xml:space="preserve">La mayoría de los artículos contra los que se dirige este primer motivo </w:t>
      </w:r>
      <w:r w:rsidRPr="004017F5">
        <w:rPr>
          <w:rFonts w:ascii="Times New Roman" w:eastAsia="Times New Roman" w:hAnsi="Times New Roman" w:cs="Times New Roman"/>
          <w:i/>
          <w:sz w:val="20"/>
          <w:szCs w:val="20"/>
          <w:u w:val="single"/>
          <w:lang w:eastAsia="es-ES"/>
        </w:rPr>
        <w:t>regulan medidas coactivas, no voluntarias, limitativas del derecho de propiedad. Limitaciones de la máxima intensidad, además, puesto que no suponen la delimitación externa del ejercicio del derecho en régimen de libertad por puras consideraciones abstractas de interés u orden público, sino que constriñen estrechamente al propietario mediante órdenes o deberes normativos</w:t>
      </w:r>
      <w:r w:rsidRPr="00486CE3">
        <w:rPr>
          <w:rFonts w:ascii="Times New Roman" w:eastAsia="Times New Roman" w:hAnsi="Times New Roman" w:cs="Times New Roman"/>
          <w:i/>
          <w:sz w:val="20"/>
          <w:szCs w:val="20"/>
          <w:lang w:eastAsia="es-ES"/>
        </w:rPr>
        <w:t xml:space="preserve"> –obligaciones concretas de hacer, como ocupar la</w:t>
      </w:r>
      <w:r>
        <w:rPr>
          <w:rFonts w:ascii="Times New Roman" w:eastAsia="Times New Roman" w:hAnsi="Times New Roman" w:cs="Times New Roman"/>
          <w:i/>
          <w:sz w:val="20"/>
          <w:szCs w:val="20"/>
          <w:lang w:eastAsia="es-ES"/>
        </w:rPr>
        <w:t xml:space="preserve"> </w:t>
      </w:r>
      <w:r w:rsidRPr="00486CE3">
        <w:rPr>
          <w:rFonts w:ascii="Times New Roman" w:eastAsia="Times New Roman" w:hAnsi="Times New Roman" w:cs="Times New Roman"/>
          <w:i/>
          <w:sz w:val="20"/>
          <w:szCs w:val="20"/>
          <w:lang w:eastAsia="es-ES"/>
        </w:rPr>
        <w:t>vivienda u ofrecer un alquiler social– que se ponen bajo la inspección y vigilancia de la</w:t>
      </w:r>
      <w:r>
        <w:rPr>
          <w:rFonts w:ascii="Times New Roman" w:eastAsia="Times New Roman" w:hAnsi="Times New Roman" w:cs="Times New Roman"/>
          <w:i/>
          <w:sz w:val="20"/>
          <w:szCs w:val="20"/>
          <w:lang w:eastAsia="es-ES"/>
        </w:rPr>
        <w:t xml:space="preserve"> </w:t>
      </w:r>
      <w:r w:rsidRPr="00486CE3">
        <w:rPr>
          <w:rFonts w:ascii="Times New Roman" w:eastAsia="Times New Roman" w:hAnsi="Times New Roman" w:cs="Times New Roman"/>
          <w:i/>
          <w:sz w:val="20"/>
          <w:szCs w:val="20"/>
          <w:lang w:eastAsia="es-ES"/>
        </w:rPr>
        <w:t xml:space="preserve">administración y </w:t>
      </w:r>
      <w:r w:rsidRPr="004017F5">
        <w:rPr>
          <w:rFonts w:ascii="Times New Roman" w:eastAsia="Times New Roman" w:hAnsi="Times New Roman" w:cs="Times New Roman"/>
          <w:i/>
          <w:sz w:val="20"/>
          <w:szCs w:val="20"/>
          <w:u w:val="single"/>
          <w:lang w:eastAsia="es-ES"/>
        </w:rPr>
        <w:t>cuyo incumplimiento habilita a esta para imponer esa conducta forzosamente mediante requerimientos y multas coercitivas, para imponer sanciones y para expropiar la vivienda</w:t>
      </w:r>
      <w:r>
        <w:rPr>
          <w:rFonts w:ascii="Times New Roman" w:eastAsia="Times New Roman" w:hAnsi="Times New Roman" w:cs="Times New Roman"/>
          <w:i/>
          <w:sz w:val="20"/>
          <w:szCs w:val="20"/>
          <w:lang w:eastAsia="es-ES"/>
        </w:rPr>
        <w:t>”</w:t>
      </w:r>
      <w:r w:rsidRPr="00486CE3">
        <w:rPr>
          <w:rFonts w:ascii="Times New Roman" w:eastAsia="Times New Roman" w:hAnsi="Times New Roman" w:cs="Times New Roman"/>
          <w:i/>
          <w:sz w:val="20"/>
          <w:szCs w:val="20"/>
          <w:lang w:eastAsia="es-ES"/>
        </w:rPr>
        <w:t>.</w:t>
      </w:r>
    </w:p>
    <w:p w:rsidR="004017F5" w:rsidRDefault="004017F5"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Entra a analizar cada uno de los dos grupos de artículos. </w:t>
      </w:r>
    </w:p>
    <w:p w:rsidR="004017F5" w:rsidRDefault="004017F5" w:rsidP="004C54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Respecto de los arts. 2.2 y 2.3, que tipifican la desocupación permanente e injustificada por el plazo de más de dos años como supuesto de “incumplimiento de la </w:t>
      </w:r>
      <w:r>
        <w:rPr>
          <w:rFonts w:ascii="Times New Roman" w:eastAsia="Times New Roman" w:hAnsi="Times New Roman" w:cs="Times New Roman"/>
          <w:sz w:val="24"/>
          <w:szCs w:val="20"/>
          <w:lang w:eastAsia="es-ES"/>
        </w:rPr>
        <w:lastRenderedPageBreak/>
        <w:t>función social de la propiedad de una vivienda o un edificio de viviendas”, o que no se destine a residencia habitual y permanente de personas, si es una VPO p reservada por el planeamiento urbanístico a este tipo de residencia</w:t>
      </w:r>
      <w:r w:rsidR="004C547F">
        <w:rPr>
          <w:rFonts w:ascii="Times New Roman" w:eastAsia="Times New Roman" w:hAnsi="Times New Roman" w:cs="Times New Roman"/>
          <w:sz w:val="24"/>
          <w:szCs w:val="20"/>
          <w:lang w:eastAsia="es-ES"/>
        </w:rPr>
        <w:t xml:space="preserve"> (siendo indiferente que se trate de vivienda libre o de protección oficial), el TC manifiesta que </w:t>
      </w:r>
      <w:r w:rsidR="004C547F" w:rsidRPr="004C547F">
        <w:rPr>
          <w:rFonts w:ascii="Times New Roman" w:eastAsia="Times New Roman" w:hAnsi="Times New Roman" w:cs="Times New Roman"/>
          <w:i/>
          <w:sz w:val="24"/>
          <w:szCs w:val="20"/>
          <w:lang w:eastAsia="es-ES"/>
        </w:rPr>
        <w:t>“(…) no puede considerarse, como en el caso de la STC 93/2015, que esas normas son simplemente instrumentales para la política de vivienda de la comunidad autónoma, porque ese incumplimiento, apreciado por la administración, da lugar a las reacciones exorbitantes de esta que ya hemos señalado: requerimientos para su cumplimiento, ejecución de esos requerimientos mediante multas coercitivas, sanciones y expropiación del bien, de acuerdo con lo establecido en los demás artículos citados de este primer grupo. Todos esos preceptos, además, contienen referencias explícitas a los arts. 5.2 b)</w:t>
      </w:r>
      <w:r w:rsidR="004C547F">
        <w:rPr>
          <w:rFonts w:ascii="Times New Roman" w:eastAsia="Times New Roman" w:hAnsi="Times New Roman" w:cs="Times New Roman"/>
          <w:i/>
          <w:sz w:val="24"/>
          <w:szCs w:val="20"/>
          <w:lang w:eastAsia="es-ES"/>
        </w:rPr>
        <w:t xml:space="preserve"> </w:t>
      </w:r>
      <w:r w:rsidR="004C547F" w:rsidRPr="004C547F">
        <w:rPr>
          <w:rFonts w:ascii="Times New Roman" w:eastAsia="Times New Roman" w:hAnsi="Times New Roman" w:cs="Times New Roman"/>
          <w:i/>
          <w:sz w:val="24"/>
          <w:szCs w:val="20"/>
          <w:lang w:eastAsia="es-ES"/>
        </w:rPr>
        <w:t>y d), modificados por los arts. 2.2 y 2.3 (caso de los arts. 2.4, 2.5 y 2.7) o a la obligación de ocupar legal y efectivamente la vivienda (arts. 2.10, 2.12 y 5.5) que los vinculan al mandato legal que hemos considerado inconstitucional por no poder ser establecido mediante decreto-ley, por lo que deben seguir su misma suerte</w:t>
      </w:r>
      <w:r w:rsidR="004C547F">
        <w:rPr>
          <w:rFonts w:ascii="Times New Roman" w:eastAsia="Times New Roman" w:hAnsi="Times New Roman" w:cs="Times New Roman"/>
          <w:sz w:val="24"/>
          <w:szCs w:val="20"/>
          <w:lang w:eastAsia="es-ES"/>
        </w:rPr>
        <w:t>”, y, en consecuencia, los declara inconstitucionales</w:t>
      </w:r>
      <w:r w:rsidR="004C547F" w:rsidRPr="004C547F">
        <w:rPr>
          <w:rFonts w:ascii="Times New Roman" w:eastAsia="Times New Roman" w:hAnsi="Times New Roman" w:cs="Times New Roman"/>
          <w:sz w:val="24"/>
          <w:szCs w:val="20"/>
          <w:lang w:eastAsia="es-ES"/>
        </w:rPr>
        <w:t>.</w:t>
      </w:r>
      <w:r w:rsidR="004C547F">
        <w:rPr>
          <w:rFonts w:ascii="Times New Roman" w:eastAsia="Times New Roman" w:hAnsi="Times New Roman" w:cs="Times New Roman"/>
          <w:sz w:val="24"/>
          <w:szCs w:val="20"/>
          <w:lang w:eastAsia="es-ES"/>
        </w:rPr>
        <w:t xml:space="preserve"> En cambio, por no incluir estas referencias, no afectan al derecho de propiedad el art. 2.1 (definición de vivienda vacía), art. 2.8 (sobre la competencia del departamento correspondiente y los ayuntamientos para declarar la situación anómala de la propiedad), el art. 2.9, que habilita a la Generalitat a impulsar políticas de fomento  para potencia la incorporación al mercado de las viviendas vacías; y el art. 2.11 que regula las multas coercitivas con carácter general, sin hacer referencia concreta a su imposición  por los motivos habilitados en el DL impugnado.</w:t>
      </w:r>
    </w:p>
    <w:p w:rsidR="004C547F" w:rsidRDefault="004C547F" w:rsidP="004C547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TC extiende</w:t>
      </w:r>
      <w:r w:rsidRPr="004C547F">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la</w:t>
      </w:r>
      <w:r w:rsidRPr="004C547F">
        <w:rPr>
          <w:rFonts w:ascii="Times New Roman" w:eastAsia="Times New Roman" w:hAnsi="Times New Roman" w:cs="Times New Roman"/>
          <w:sz w:val="24"/>
          <w:szCs w:val="20"/>
          <w:lang w:eastAsia="es-ES"/>
        </w:rPr>
        <w:t xml:space="preserve"> declaración de</w:t>
      </w:r>
      <w:r>
        <w:rPr>
          <w:rFonts w:ascii="Times New Roman" w:eastAsia="Times New Roman" w:hAnsi="Times New Roman" w:cs="Times New Roman"/>
          <w:sz w:val="24"/>
          <w:szCs w:val="20"/>
          <w:lang w:eastAsia="es-ES"/>
        </w:rPr>
        <w:t xml:space="preserve"> </w:t>
      </w:r>
      <w:r w:rsidRPr="004C547F">
        <w:rPr>
          <w:rFonts w:ascii="Times New Roman" w:eastAsia="Times New Roman" w:hAnsi="Times New Roman" w:cs="Times New Roman"/>
          <w:sz w:val="24"/>
          <w:szCs w:val="20"/>
          <w:lang w:eastAsia="es-ES"/>
        </w:rPr>
        <w:t>inconstitucionalidad y nulidad al art. 6.3, que modifica el art. 15 de la Ley 4/2016, de 23</w:t>
      </w:r>
      <w:r>
        <w:rPr>
          <w:rFonts w:ascii="Times New Roman" w:eastAsia="Times New Roman" w:hAnsi="Times New Roman" w:cs="Times New Roman"/>
          <w:sz w:val="24"/>
          <w:szCs w:val="20"/>
          <w:lang w:eastAsia="es-ES"/>
        </w:rPr>
        <w:t xml:space="preserve"> </w:t>
      </w:r>
      <w:r w:rsidRPr="004C547F">
        <w:rPr>
          <w:rFonts w:ascii="Times New Roman" w:eastAsia="Times New Roman" w:hAnsi="Times New Roman" w:cs="Times New Roman"/>
          <w:sz w:val="24"/>
          <w:szCs w:val="20"/>
          <w:lang w:eastAsia="es-ES"/>
        </w:rPr>
        <w:t>de diciembre, de medidas de protección del derecho a la vivienda de las personas en</w:t>
      </w:r>
      <w:r>
        <w:rPr>
          <w:rFonts w:ascii="Times New Roman" w:eastAsia="Times New Roman" w:hAnsi="Times New Roman" w:cs="Times New Roman"/>
          <w:sz w:val="24"/>
          <w:szCs w:val="20"/>
          <w:lang w:eastAsia="es-ES"/>
        </w:rPr>
        <w:t xml:space="preserve"> </w:t>
      </w:r>
      <w:r w:rsidRPr="004C547F">
        <w:rPr>
          <w:rFonts w:ascii="Times New Roman" w:eastAsia="Times New Roman" w:hAnsi="Times New Roman" w:cs="Times New Roman"/>
          <w:sz w:val="24"/>
          <w:szCs w:val="20"/>
          <w:lang w:eastAsia="es-ES"/>
        </w:rPr>
        <w:t>riesgo de exclusión residencial, para regular la expropiación de la propiedad de la</w:t>
      </w:r>
      <w:r>
        <w:rPr>
          <w:rFonts w:ascii="Times New Roman" w:eastAsia="Times New Roman" w:hAnsi="Times New Roman" w:cs="Times New Roman"/>
          <w:sz w:val="24"/>
          <w:szCs w:val="20"/>
          <w:lang w:eastAsia="es-ES"/>
        </w:rPr>
        <w:t xml:space="preserve"> </w:t>
      </w:r>
      <w:r w:rsidRPr="004C547F">
        <w:rPr>
          <w:rFonts w:ascii="Times New Roman" w:eastAsia="Times New Roman" w:hAnsi="Times New Roman" w:cs="Times New Roman"/>
          <w:sz w:val="24"/>
          <w:szCs w:val="20"/>
          <w:lang w:eastAsia="es-ES"/>
        </w:rPr>
        <w:t>vivienda declarando que «</w:t>
      </w:r>
      <w:r w:rsidRPr="004C547F">
        <w:rPr>
          <w:rFonts w:ascii="Times New Roman" w:eastAsia="Times New Roman" w:hAnsi="Times New Roman" w:cs="Times New Roman"/>
          <w:i/>
          <w:sz w:val="24"/>
          <w:szCs w:val="20"/>
          <w:lang w:eastAsia="es-ES"/>
        </w:rPr>
        <w:t>es causa de interés social el incumplimiento de la función social de la propiedad, relativa a la ocupación legal y efectiva de la vivienda para que constituya la residencia de las personas</w:t>
      </w:r>
      <w:r w:rsidRPr="004C547F">
        <w:rPr>
          <w:rFonts w:ascii="Times New Roman" w:eastAsia="Times New Roman" w:hAnsi="Times New Roman" w:cs="Times New Roman"/>
          <w:sz w:val="24"/>
          <w:szCs w:val="20"/>
          <w:lang w:eastAsia="es-ES"/>
        </w:rPr>
        <w:t>» (apartado 1).</w:t>
      </w:r>
    </w:p>
    <w:p w:rsidR="004C547F" w:rsidRPr="007766BE" w:rsidRDefault="007766BE" w:rsidP="004C547F">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 xml:space="preserve">Por las mismas razones, el TC declara inconstitucionales y nulos </w:t>
      </w:r>
      <w:r w:rsidR="004C547F">
        <w:rPr>
          <w:rFonts w:ascii="Times New Roman" w:eastAsia="Times New Roman" w:hAnsi="Times New Roman" w:cs="Times New Roman"/>
          <w:sz w:val="24"/>
          <w:szCs w:val="20"/>
          <w:lang w:eastAsia="es-ES"/>
        </w:rPr>
        <w:t xml:space="preserve">los </w:t>
      </w:r>
      <w:r>
        <w:rPr>
          <w:rFonts w:ascii="Times New Roman" w:eastAsia="Times New Roman" w:hAnsi="Times New Roman" w:cs="Times New Roman"/>
          <w:sz w:val="24"/>
          <w:szCs w:val="20"/>
          <w:lang w:eastAsia="es-ES"/>
        </w:rPr>
        <w:t xml:space="preserve">artículos </w:t>
      </w:r>
      <w:r w:rsidR="004C547F">
        <w:rPr>
          <w:rFonts w:ascii="Times New Roman" w:eastAsia="Times New Roman" w:hAnsi="Times New Roman" w:cs="Times New Roman"/>
          <w:sz w:val="24"/>
          <w:szCs w:val="20"/>
          <w:lang w:eastAsia="es-ES"/>
        </w:rPr>
        <w:t>que imponen a los propie</w:t>
      </w:r>
      <w:r w:rsidR="004C547F" w:rsidRPr="004C547F">
        <w:rPr>
          <w:rFonts w:ascii="Times New Roman" w:eastAsia="Times New Roman" w:hAnsi="Times New Roman" w:cs="Times New Roman"/>
          <w:sz w:val="24"/>
          <w:szCs w:val="20"/>
          <w:lang w:eastAsia="es-ES"/>
        </w:rPr>
        <w:t>tarios d</w:t>
      </w:r>
      <w:r>
        <w:rPr>
          <w:rFonts w:ascii="Times New Roman" w:eastAsia="Times New Roman" w:hAnsi="Times New Roman" w:cs="Times New Roman"/>
          <w:sz w:val="24"/>
          <w:szCs w:val="20"/>
          <w:lang w:eastAsia="es-ES"/>
        </w:rPr>
        <w:t>e viviendas su alquiler forzoso, esto es, “</w:t>
      </w:r>
      <w:r w:rsidRPr="007766BE">
        <w:rPr>
          <w:rFonts w:ascii="Times New Roman" w:eastAsia="Times New Roman" w:hAnsi="Times New Roman" w:cs="Times New Roman"/>
          <w:i/>
          <w:sz w:val="24"/>
          <w:szCs w:val="20"/>
          <w:lang w:eastAsia="es-ES"/>
        </w:rPr>
        <w:t xml:space="preserve">los </w:t>
      </w:r>
      <w:r w:rsidR="004C547F" w:rsidRPr="007766BE">
        <w:rPr>
          <w:rFonts w:ascii="Times New Roman" w:eastAsia="Times New Roman" w:hAnsi="Times New Roman" w:cs="Times New Roman"/>
          <w:i/>
          <w:sz w:val="24"/>
          <w:szCs w:val="20"/>
          <w:lang w:eastAsia="es-ES"/>
        </w:rPr>
        <w:t>arts. 5.6 y 5.7</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 xml:space="preserve">del Decreto-ley 17/2019, </w:t>
      </w:r>
      <w:r w:rsidRPr="007766BE">
        <w:rPr>
          <w:rFonts w:ascii="Times New Roman" w:eastAsia="Times New Roman" w:hAnsi="Times New Roman" w:cs="Times New Roman"/>
          <w:i/>
          <w:sz w:val="24"/>
          <w:szCs w:val="20"/>
          <w:lang w:eastAsia="es-ES"/>
        </w:rPr>
        <w:t xml:space="preserve">que añaden el </w:t>
      </w:r>
      <w:r w:rsidR="004C547F" w:rsidRPr="007766BE">
        <w:rPr>
          <w:rFonts w:ascii="Times New Roman" w:eastAsia="Times New Roman" w:hAnsi="Times New Roman" w:cs="Times New Roman"/>
          <w:i/>
          <w:sz w:val="24"/>
          <w:szCs w:val="20"/>
          <w:lang w:eastAsia="es-ES"/>
        </w:rPr>
        <w:t>art. 10 y la disposición adicional primera a la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Ley 24/2015 para regular esta obligación; el art. 6.6, que modifica el art. 16.3 de la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Ley 4/2016 sobre este mismo deber para adaptarlo a la nueva duración mínima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 xml:space="preserve">establecida </w:t>
      </w:r>
      <w:r w:rsidR="004C547F" w:rsidRPr="007766BE">
        <w:rPr>
          <w:rFonts w:ascii="Times New Roman" w:eastAsia="Times New Roman" w:hAnsi="Times New Roman" w:cs="Times New Roman"/>
          <w:i/>
          <w:sz w:val="24"/>
          <w:szCs w:val="20"/>
          <w:lang w:eastAsia="es-ES"/>
        </w:rPr>
        <w:lastRenderedPageBreak/>
        <w:t>por los arts. 5.6 y 5.7 antes citados; y el art. 4.2 que modifica el art. 5.2 d) de</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la Ley del derecho a la vivienda definiendo como supuesto de incumplimiento de la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función social de la propiedad que «se incumpla la obligación de ofrecer una propuesta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de alquiler social antes de interponer una demanda judicial en los términos que establece</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la Ley 24/2015, de 29 de julio, de medidas urgentes para afrontar la emergencia en el</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ámbito de la vivienda y la pobreza energética</w:t>
      </w:r>
      <w:r>
        <w:rPr>
          <w:rFonts w:ascii="Times New Roman" w:eastAsia="Times New Roman" w:hAnsi="Times New Roman" w:cs="Times New Roman"/>
          <w:sz w:val="24"/>
          <w:szCs w:val="20"/>
          <w:lang w:eastAsia="es-ES"/>
        </w:rPr>
        <w:t xml:space="preserve">”; declaración que se extiende </w:t>
      </w:r>
      <w:r w:rsidR="004C547F" w:rsidRPr="004C547F">
        <w:rPr>
          <w:rFonts w:ascii="Times New Roman" w:eastAsia="Times New Roman" w:hAnsi="Times New Roman" w:cs="Times New Roman"/>
          <w:sz w:val="24"/>
          <w:szCs w:val="20"/>
          <w:lang w:eastAsia="es-ES"/>
        </w:rPr>
        <w:t xml:space="preserve">a la </w:t>
      </w:r>
      <w:r>
        <w:rPr>
          <w:rFonts w:ascii="Times New Roman" w:eastAsia="Times New Roman" w:hAnsi="Times New Roman" w:cs="Times New Roman"/>
          <w:sz w:val="24"/>
          <w:szCs w:val="20"/>
          <w:lang w:eastAsia="es-ES"/>
        </w:rPr>
        <w:t>DT</w:t>
      </w:r>
      <w:r w:rsidR="004C547F" w:rsidRPr="004C547F">
        <w:rPr>
          <w:rFonts w:ascii="Times New Roman" w:eastAsia="Times New Roman" w:hAnsi="Times New Roman" w:cs="Times New Roman"/>
          <w:sz w:val="24"/>
          <w:szCs w:val="20"/>
          <w:lang w:eastAsia="es-ES"/>
        </w:rPr>
        <w:t xml:space="preserve"> primera, que dispone que </w:t>
      </w:r>
      <w:r>
        <w:rPr>
          <w:rFonts w:ascii="Times New Roman" w:eastAsia="Times New Roman" w:hAnsi="Times New Roman" w:cs="Times New Roman"/>
          <w:sz w:val="24"/>
          <w:szCs w:val="20"/>
          <w:lang w:eastAsia="es-ES"/>
        </w:rPr>
        <w:t>“</w:t>
      </w:r>
      <w:r w:rsidRPr="007766BE">
        <w:rPr>
          <w:rFonts w:ascii="Times New Roman" w:eastAsia="Times New Roman" w:hAnsi="Times New Roman" w:cs="Times New Roman"/>
          <w:i/>
          <w:sz w:val="24"/>
          <w:szCs w:val="20"/>
          <w:lang w:eastAsia="es-ES"/>
        </w:rPr>
        <w:t>l</w:t>
      </w:r>
      <w:r w:rsidR="004C547F" w:rsidRPr="007766BE">
        <w:rPr>
          <w:rFonts w:ascii="Times New Roman" w:eastAsia="Times New Roman" w:hAnsi="Times New Roman" w:cs="Times New Roman"/>
          <w:i/>
          <w:sz w:val="24"/>
          <w:szCs w:val="20"/>
          <w:lang w:eastAsia="es-ES"/>
        </w:rPr>
        <w:t>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obligación de ofrecer un alquiler social a que hacen referencia la disposición adicional</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primera y el artículo 10 de la [Ley 24/2015], añadidos por este Decreto-ley, es de</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aplicación también en caso de que los procedimientos judiciales correspondientes se</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hayan iniciado antes de la entrada en vigor de este Decreto-ley y estén todavía en</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tramitación». Y también al inciso «y del apartado 2 de la disposición adicional primera</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(refiriéndose a la disposición adicional primera de la Ley 24/2015, que forma parte de los</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preceptos impugnados y anulados de este grupo) contenido en el art. 4.5, en cuanto</w:t>
      </w:r>
      <w:r w:rsidRPr="007766BE">
        <w:rPr>
          <w:rFonts w:ascii="Times New Roman" w:eastAsia="Times New Roman" w:hAnsi="Times New Roman" w:cs="Times New Roman"/>
          <w:i/>
          <w:sz w:val="24"/>
          <w:szCs w:val="20"/>
          <w:lang w:eastAsia="es-ES"/>
        </w:rPr>
        <w:t xml:space="preserve"> </w:t>
      </w:r>
      <w:r w:rsidR="004C547F" w:rsidRPr="007766BE">
        <w:rPr>
          <w:rFonts w:ascii="Times New Roman" w:eastAsia="Times New Roman" w:hAnsi="Times New Roman" w:cs="Times New Roman"/>
          <w:i/>
          <w:sz w:val="24"/>
          <w:szCs w:val="20"/>
          <w:lang w:eastAsia="es-ES"/>
        </w:rPr>
        <w:t>modifica la letra j) del apartado 2 del art. 124 de la Ley del derecho a la vivienda</w:t>
      </w:r>
      <w:r>
        <w:rPr>
          <w:rFonts w:ascii="Times New Roman" w:eastAsia="Times New Roman" w:hAnsi="Times New Roman" w:cs="Times New Roman"/>
          <w:i/>
          <w:sz w:val="24"/>
          <w:szCs w:val="20"/>
          <w:lang w:eastAsia="es-ES"/>
        </w:rPr>
        <w:t>”</w:t>
      </w:r>
      <w:r w:rsidR="004C547F" w:rsidRPr="007766BE">
        <w:rPr>
          <w:rFonts w:ascii="Times New Roman" w:eastAsia="Times New Roman" w:hAnsi="Times New Roman" w:cs="Times New Roman"/>
          <w:i/>
          <w:sz w:val="24"/>
          <w:szCs w:val="20"/>
          <w:lang w:eastAsia="es-ES"/>
        </w:rPr>
        <w:t>.</w:t>
      </w:r>
    </w:p>
    <w:p w:rsidR="004C547F" w:rsidRDefault="007766BE"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Sin embargo, sí mantiene la constitucionalidad de la regulación del índice de referencia de precios de alquiler, la obligación de reserva para viviendas de protección en suelo urbanizado y el registro de viviendas vacías y de viviendas ocupadas sin título habilitante.</w:t>
      </w:r>
    </w:p>
    <w:p w:rsidR="00074D83" w:rsidRDefault="007766BE" w:rsidP="00682530">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definitiva y para concluir, el TC es</w:t>
      </w:r>
      <w:r w:rsidR="00682530" w:rsidRPr="00682530">
        <w:rPr>
          <w:rFonts w:ascii="Times New Roman" w:eastAsia="Times New Roman" w:hAnsi="Times New Roman" w:cs="Times New Roman"/>
          <w:sz w:val="24"/>
          <w:szCs w:val="20"/>
          <w:lang w:eastAsia="es-ES"/>
        </w:rPr>
        <w:t>timar en parte el recurso de inconstitucionalidad y</w:t>
      </w:r>
      <w:r>
        <w:rPr>
          <w:rFonts w:ascii="Times New Roman" w:eastAsia="Times New Roman" w:hAnsi="Times New Roman" w:cs="Times New Roman"/>
          <w:sz w:val="24"/>
          <w:szCs w:val="20"/>
          <w:lang w:eastAsia="es-ES"/>
        </w:rPr>
        <w:t xml:space="preserve"> declara</w:t>
      </w:r>
      <w:r w:rsidR="00682530" w:rsidRPr="00682530">
        <w:rPr>
          <w:rFonts w:ascii="Times New Roman" w:eastAsia="Times New Roman" w:hAnsi="Times New Roman" w:cs="Times New Roman"/>
          <w:sz w:val="24"/>
          <w:szCs w:val="20"/>
          <w:lang w:eastAsia="es-ES"/>
        </w:rPr>
        <w:t xml:space="preserve"> inconstitucionales y nulos los artículos 2.2, 2.3, 2.4, 2.5, 2.7, 2.10, 2.11 (inciso</w:t>
      </w:r>
      <w:r w:rsidR="00682530">
        <w:rPr>
          <w:rFonts w:ascii="Times New Roman" w:eastAsia="Times New Roman" w:hAnsi="Times New Roman" w:cs="Times New Roman"/>
          <w:sz w:val="24"/>
          <w:szCs w:val="20"/>
          <w:lang w:eastAsia="es-ES"/>
        </w:rPr>
        <w:t xml:space="preserve"> </w:t>
      </w:r>
      <w:r w:rsidR="00682530" w:rsidRPr="00682530">
        <w:rPr>
          <w:rFonts w:ascii="Times New Roman" w:eastAsia="Times New Roman" w:hAnsi="Times New Roman" w:cs="Times New Roman"/>
          <w:sz w:val="24"/>
          <w:szCs w:val="20"/>
          <w:lang w:eastAsia="es-ES"/>
        </w:rPr>
        <w:t>«</w:t>
      </w:r>
      <w:r w:rsidR="00682530" w:rsidRPr="007766BE">
        <w:rPr>
          <w:rFonts w:ascii="Times New Roman" w:eastAsia="Times New Roman" w:hAnsi="Times New Roman" w:cs="Times New Roman"/>
          <w:i/>
          <w:sz w:val="24"/>
          <w:szCs w:val="20"/>
          <w:lang w:eastAsia="es-ES"/>
        </w:rPr>
        <w:t>sin perjuicio del supuesto a que hace referencia el artículo 42.6</w:t>
      </w:r>
      <w:r w:rsidR="00682530" w:rsidRPr="00682530">
        <w:rPr>
          <w:rFonts w:ascii="Times New Roman" w:eastAsia="Times New Roman" w:hAnsi="Times New Roman" w:cs="Times New Roman"/>
          <w:sz w:val="24"/>
          <w:szCs w:val="20"/>
          <w:lang w:eastAsia="es-ES"/>
        </w:rPr>
        <w:t>»), 2.12, 4.2, 4.5 (inciso</w:t>
      </w:r>
      <w:r w:rsidR="00682530">
        <w:rPr>
          <w:rFonts w:ascii="Times New Roman" w:eastAsia="Times New Roman" w:hAnsi="Times New Roman" w:cs="Times New Roman"/>
          <w:sz w:val="24"/>
          <w:szCs w:val="20"/>
          <w:lang w:eastAsia="es-ES"/>
        </w:rPr>
        <w:t xml:space="preserve"> </w:t>
      </w:r>
      <w:r w:rsidR="00682530" w:rsidRPr="00682530">
        <w:rPr>
          <w:rFonts w:ascii="Times New Roman" w:eastAsia="Times New Roman" w:hAnsi="Times New Roman" w:cs="Times New Roman"/>
          <w:sz w:val="24"/>
          <w:szCs w:val="20"/>
          <w:lang w:eastAsia="es-ES"/>
        </w:rPr>
        <w:t>«</w:t>
      </w:r>
      <w:r w:rsidR="00682530" w:rsidRPr="007766BE">
        <w:rPr>
          <w:rFonts w:ascii="Times New Roman" w:eastAsia="Times New Roman" w:hAnsi="Times New Roman" w:cs="Times New Roman"/>
          <w:i/>
          <w:sz w:val="24"/>
          <w:szCs w:val="20"/>
          <w:lang w:eastAsia="es-ES"/>
        </w:rPr>
        <w:t>y del apartado 2 de la disposición adicional primera</w:t>
      </w:r>
      <w:r w:rsidR="00682530" w:rsidRPr="00682530">
        <w:rPr>
          <w:rFonts w:ascii="Times New Roman" w:eastAsia="Times New Roman" w:hAnsi="Times New Roman" w:cs="Times New Roman"/>
          <w:sz w:val="24"/>
          <w:szCs w:val="20"/>
          <w:lang w:eastAsia="es-ES"/>
        </w:rPr>
        <w:t>»), 5.5, 5.6, 5.7, 6.3 y 6.6 y la</w:t>
      </w:r>
      <w:r w:rsidR="00682530">
        <w:rPr>
          <w:rFonts w:ascii="Times New Roman" w:eastAsia="Times New Roman" w:hAnsi="Times New Roman" w:cs="Times New Roman"/>
          <w:sz w:val="24"/>
          <w:szCs w:val="20"/>
          <w:lang w:eastAsia="es-ES"/>
        </w:rPr>
        <w:t xml:space="preserve"> </w:t>
      </w:r>
      <w:r w:rsidR="00682530" w:rsidRPr="00682530">
        <w:rPr>
          <w:rFonts w:ascii="Times New Roman" w:eastAsia="Times New Roman" w:hAnsi="Times New Roman" w:cs="Times New Roman"/>
          <w:sz w:val="24"/>
          <w:szCs w:val="20"/>
          <w:lang w:eastAsia="es-ES"/>
        </w:rPr>
        <w:t>disposición transitoria primera del Decreto-ley del Gobierno de la Generalitat de</w:t>
      </w:r>
      <w:r w:rsidR="00682530">
        <w:rPr>
          <w:rFonts w:ascii="Times New Roman" w:eastAsia="Times New Roman" w:hAnsi="Times New Roman" w:cs="Times New Roman"/>
          <w:sz w:val="24"/>
          <w:szCs w:val="20"/>
          <w:lang w:eastAsia="es-ES"/>
        </w:rPr>
        <w:t xml:space="preserve"> </w:t>
      </w:r>
      <w:r w:rsidR="00682530" w:rsidRPr="00682530">
        <w:rPr>
          <w:rFonts w:ascii="Times New Roman" w:eastAsia="Times New Roman" w:hAnsi="Times New Roman" w:cs="Times New Roman"/>
          <w:sz w:val="24"/>
          <w:szCs w:val="20"/>
          <w:lang w:eastAsia="es-ES"/>
        </w:rPr>
        <w:t>Cataluña 17/2019, de 23 de diciembre, de medidas urgentes para mejorar el acceso a la</w:t>
      </w:r>
      <w:r w:rsidR="00682530">
        <w:rPr>
          <w:rFonts w:ascii="Times New Roman" w:eastAsia="Times New Roman" w:hAnsi="Times New Roman" w:cs="Times New Roman"/>
          <w:sz w:val="24"/>
          <w:szCs w:val="20"/>
          <w:lang w:eastAsia="es-ES"/>
        </w:rPr>
        <w:t xml:space="preserve"> </w:t>
      </w:r>
      <w:r w:rsidR="00682530" w:rsidRPr="00682530">
        <w:rPr>
          <w:rFonts w:ascii="Times New Roman" w:eastAsia="Times New Roman" w:hAnsi="Times New Roman" w:cs="Times New Roman"/>
          <w:sz w:val="24"/>
          <w:szCs w:val="20"/>
          <w:lang w:eastAsia="es-ES"/>
        </w:rPr>
        <w:t>vivienda</w:t>
      </w:r>
      <w:r>
        <w:rPr>
          <w:rFonts w:ascii="Times New Roman" w:eastAsia="Times New Roman" w:hAnsi="Times New Roman" w:cs="Times New Roman"/>
          <w:sz w:val="24"/>
          <w:szCs w:val="20"/>
          <w:lang w:eastAsia="es-ES"/>
        </w:rPr>
        <w:t>.</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2.- TRIBUNAL SUPREMO</w:t>
      </w:r>
    </w:p>
    <w:p w:rsidR="00871306" w:rsidRDefault="0074653A" w:rsidP="0074653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74653A">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b/>
          <w:sz w:val="24"/>
          <w:szCs w:val="20"/>
          <w:u w:val="single"/>
          <w:lang w:eastAsia="es-ES"/>
        </w:rPr>
        <w:t xml:space="preserve">Sentencia 75/2021, de 26 de enero, de la Sala de lo Contencioso Administrativo, Sección </w:t>
      </w:r>
      <w:r w:rsidR="00871306" w:rsidRPr="006755DA">
        <w:rPr>
          <w:rFonts w:ascii="Times New Roman" w:eastAsia="Times New Roman" w:hAnsi="Times New Roman" w:cs="Times New Roman"/>
          <w:b/>
          <w:sz w:val="24"/>
          <w:szCs w:val="20"/>
          <w:u w:val="single"/>
          <w:lang w:eastAsia="es-ES"/>
        </w:rPr>
        <w:t>Quinta</w:t>
      </w:r>
      <w:r w:rsidRPr="006755DA">
        <w:rPr>
          <w:rFonts w:ascii="Times New Roman" w:eastAsia="Times New Roman" w:hAnsi="Times New Roman" w:cs="Times New Roman"/>
          <w:b/>
          <w:sz w:val="24"/>
          <w:szCs w:val="20"/>
          <w:u w:val="single"/>
          <w:lang w:eastAsia="es-ES"/>
        </w:rPr>
        <w:t>, del T</w:t>
      </w:r>
      <w:r w:rsidR="00871306" w:rsidRPr="006755DA">
        <w:rPr>
          <w:rFonts w:ascii="Times New Roman" w:eastAsia="Times New Roman" w:hAnsi="Times New Roman" w:cs="Times New Roman"/>
          <w:b/>
          <w:sz w:val="24"/>
          <w:szCs w:val="20"/>
          <w:u w:val="single"/>
          <w:lang w:eastAsia="es-ES"/>
        </w:rPr>
        <w:t>ribunal Supremo</w:t>
      </w:r>
      <w:r w:rsidRPr="006755DA">
        <w:rPr>
          <w:rFonts w:ascii="Times New Roman" w:eastAsia="Times New Roman" w:hAnsi="Times New Roman" w:cs="Times New Roman"/>
          <w:b/>
          <w:sz w:val="24"/>
          <w:szCs w:val="20"/>
          <w:u w:val="single"/>
          <w:lang w:eastAsia="es-ES"/>
        </w:rPr>
        <w:t xml:space="preserve">, que </w:t>
      </w:r>
      <w:r w:rsidR="00871306" w:rsidRPr="006755DA">
        <w:rPr>
          <w:rFonts w:ascii="Times New Roman" w:eastAsia="Times New Roman" w:hAnsi="Times New Roman" w:cs="Times New Roman"/>
          <w:b/>
          <w:sz w:val="24"/>
          <w:szCs w:val="20"/>
          <w:u w:val="single"/>
          <w:lang w:eastAsia="es-ES"/>
        </w:rPr>
        <w:t>desestima el recurso de casación interpuesto contra una sentencia del TSJ de Cataluña que estim</w:t>
      </w:r>
      <w:r w:rsidR="006755DA" w:rsidRPr="006755DA">
        <w:rPr>
          <w:rFonts w:ascii="Times New Roman" w:eastAsia="Times New Roman" w:hAnsi="Times New Roman" w:cs="Times New Roman"/>
          <w:b/>
          <w:sz w:val="24"/>
          <w:szCs w:val="20"/>
          <w:u w:val="single"/>
          <w:lang w:eastAsia="es-ES"/>
        </w:rPr>
        <w:t xml:space="preserve">ó parcialmente un recurso </w:t>
      </w:r>
      <w:r w:rsidR="00871306" w:rsidRPr="006755DA">
        <w:rPr>
          <w:rFonts w:ascii="Times New Roman" w:eastAsia="Times New Roman" w:hAnsi="Times New Roman" w:cs="Times New Roman"/>
          <w:b/>
          <w:sz w:val="24"/>
          <w:szCs w:val="20"/>
          <w:u w:val="single"/>
          <w:lang w:eastAsia="es-ES"/>
        </w:rPr>
        <w:t xml:space="preserve">contencioso administrativo contra un acuerdo municipal </w:t>
      </w:r>
      <w:r w:rsidR="00871306" w:rsidRPr="006755DA">
        <w:rPr>
          <w:rFonts w:ascii="Times New Roman" w:eastAsia="Times New Roman" w:hAnsi="Times New Roman" w:cs="Times New Roman"/>
          <w:b/>
          <w:sz w:val="24"/>
          <w:szCs w:val="20"/>
          <w:u w:val="single"/>
          <w:lang w:eastAsia="es-ES"/>
        </w:rPr>
        <w:lastRenderedPageBreak/>
        <w:t>de aprobación definitiva de un plan especial urbanístico para la regulación de las viviendas de uso turístico en la ciudad de Barcelona</w:t>
      </w:r>
      <w:r w:rsidRPr="0074653A">
        <w:rPr>
          <w:rFonts w:ascii="Times New Roman" w:eastAsia="Times New Roman" w:hAnsi="Times New Roman" w:cs="Times New Roman"/>
          <w:sz w:val="24"/>
          <w:szCs w:val="20"/>
          <w:lang w:eastAsia="es-ES"/>
        </w:rPr>
        <w:t xml:space="preserve">. (Roj: </w:t>
      </w:r>
      <w:r w:rsidR="006755DA">
        <w:rPr>
          <w:rFonts w:ascii="Times New Roman" w:eastAsia="Times New Roman" w:hAnsi="Times New Roman" w:cs="Times New Roman"/>
          <w:sz w:val="24"/>
          <w:szCs w:val="20"/>
          <w:lang w:eastAsia="es-ES"/>
        </w:rPr>
        <w:t xml:space="preserve">STS </w:t>
      </w:r>
      <w:r w:rsidR="00871306">
        <w:rPr>
          <w:rFonts w:ascii="Times New Roman" w:eastAsia="Times New Roman" w:hAnsi="Times New Roman" w:cs="Times New Roman"/>
          <w:sz w:val="24"/>
          <w:szCs w:val="20"/>
          <w:lang w:eastAsia="es-ES"/>
        </w:rPr>
        <w:t>210/2021)</w:t>
      </w:r>
    </w:p>
    <w:p w:rsidR="006755DA" w:rsidRPr="006755DA" w:rsidRDefault="006755DA" w:rsidP="006755D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TSJ de Cataluña estimó parcialmente </w:t>
      </w:r>
      <w:r w:rsidRPr="006755DA">
        <w:rPr>
          <w:rFonts w:ascii="Times New Roman" w:eastAsia="Times New Roman" w:hAnsi="Times New Roman" w:cs="Times New Roman"/>
          <w:sz w:val="24"/>
          <w:szCs w:val="20"/>
          <w:lang w:eastAsia="es-ES"/>
        </w:rPr>
        <w:t>el recurso interpuesto contra el acuerdo del</w:t>
      </w:r>
      <w:r>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Pleno del Consell Municipal del Ayuntamiento de Barcelona de 1 de abril de 2016, aprobando definitivamente</w:t>
      </w:r>
      <w:r>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el Plan especial urbanístico para la regulación de las viviendas de uso turístico (en adelante, PEU) en la ciudad</w:t>
      </w:r>
      <w:r>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 xml:space="preserve">de Barcelona, </w:t>
      </w:r>
      <w:r>
        <w:rPr>
          <w:rFonts w:ascii="Times New Roman" w:eastAsia="Times New Roman" w:hAnsi="Times New Roman" w:cs="Times New Roman"/>
          <w:sz w:val="24"/>
          <w:szCs w:val="20"/>
          <w:lang w:eastAsia="es-ES"/>
        </w:rPr>
        <w:t>anuló los</w:t>
      </w:r>
      <w:r w:rsidRPr="006755DA">
        <w:rPr>
          <w:rFonts w:ascii="Times New Roman" w:eastAsia="Times New Roman" w:hAnsi="Times New Roman" w:cs="Times New Roman"/>
          <w:sz w:val="24"/>
          <w:szCs w:val="20"/>
          <w:lang w:eastAsia="es-ES"/>
        </w:rPr>
        <w:t xml:space="preserve"> arts. 6.1.a), 7.1.a), e) y f), 7.2 y 15.4, y desestim</w:t>
      </w:r>
      <w:r>
        <w:rPr>
          <w:rFonts w:ascii="Times New Roman" w:eastAsia="Times New Roman" w:hAnsi="Times New Roman" w:cs="Times New Roman"/>
          <w:sz w:val="24"/>
          <w:szCs w:val="20"/>
          <w:lang w:eastAsia="es-ES"/>
        </w:rPr>
        <w:t>ó</w:t>
      </w:r>
      <w:r w:rsidRPr="006755DA">
        <w:rPr>
          <w:rFonts w:ascii="Times New Roman" w:eastAsia="Times New Roman" w:hAnsi="Times New Roman" w:cs="Times New Roman"/>
          <w:sz w:val="24"/>
          <w:szCs w:val="20"/>
          <w:lang w:eastAsia="es-ES"/>
        </w:rPr>
        <w:t xml:space="preserve"> el re</w:t>
      </w:r>
      <w:r>
        <w:rPr>
          <w:rFonts w:ascii="Times New Roman" w:eastAsia="Times New Roman" w:hAnsi="Times New Roman" w:cs="Times New Roman"/>
          <w:sz w:val="24"/>
          <w:szCs w:val="20"/>
          <w:lang w:eastAsia="es-ES"/>
        </w:rPr>
        <w:t>sto</w:t>
      </w:r>
      <w:r w:rsidRPr="006755DA">
        <w:rPr>
          <w:rFonts w:ascii="Times New Roman" w:eastAsia="Times New Roman" w:hAnsi="Times New Roman" w:cs="Times New Roman"/>
          <w:sz w:val="24"/>
          <w:szCs w:val="20"/>
          <w:lang w:eastAsia="es-ES"/>
        </w:rPr>
        <w:t>.</w:t>
      </w:r>
    </w:p>
    <w:p w:rsidR="006755DA" w:rsidRPr="006755DA" w:rsidRDefault="006755DA" w:rsidP="006755D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De la sentencia de instancia puede extraerse los siguientes datos:</w:t>
      </w:r>
    </w:p>
    <w:p w:rsidR="00F86927" w:rsidRDefault="006755DA" w:rsidP="006755DA">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1. E</w:t>
      </w:r>
      <w:r w:rsidRPr="006755DA">
        <w:rPr>
          <w:rFonts w:ascii="Times New Roman" w:eastAsia="Times New Roman" w:hAnsi="Times New Roman" w:cs="Times New Roman"/>
          <w:sz w:val="24"/>
          <w:szCs w:val="20"/>
          <w:lang w:eastAsia="es-ES"/>
        </w:rPr>
        <w:t>l plan impugnado pertenece a la tipología de</w:t>
      </w:r>
      <w:r>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 xml:space="preserve">plan especial previsto en el art. 67 del </w:t>
      </w:r>
      <w:r>
        <w:rPr>
          <w:rFonts w:ascii="Times New Roman" w:eastAsia="Times New Roman" w:hAnsi="Times New Roman" w:cs="Times New Roman"/>
          <w:sz w:val="24"/>
          <w:szCs w:val="20"/>
          <w:lang w:eastAsia="es-ES"/>
        </w:rPr>
        <w:t>TR de la LUC</w:t>
      </w:r>
      <w:r w:rsidRPr="006755DA">
        <w:rPr>
          <w:rFonts w:ascii="Times New Roman" w:eastAsia="Times New Roman" w:hAnsi="Times New Roman" w:cs="Times New Roman"/>
          <w:sz w:val="24"/>
          <w:szCs w:val="20"/>
          <w:lang w:eastAsia="es-ES"/>
        </w:rPr>
        <w:t>, en concreto, de "</w:t>
      </w:r>
      <w:r w:rsidRPr="006755DA">
        <w:rPr>
          <w:rFonts w:ascii="Times New Roman" w:eastAsia="Times New Roman" w:hAnsi="Times New Roman" w:cs="Times New Roman"/>
          <w:i/>
          <w:sz w:val="24"/>
          <w:szCs w:val="20"/>
          <w:u w:val="single"/>
          <w:lang w:eastAsia="es-ES"/>
        </w:rPr>
        <w:t>plan especial de usos</w:t>
      </w:r>
      <w:r w:rsidRPr="006755DA">
        <w:rPr>
          <w:rFonts w:ascii="Times New Roman" w:eastAsia="Times New Roman" w:hAnsi="Times New Roman" w:cs="Times New Roman"/>
          <w:sz w:val="24"/>
          <w:szCs w:val="20"/>
          <w:lang w:eastAsia="es-ES"/>
        </w:rPr>
        <w:t>" que "</w:t>
      </w:r>
      <w:r w:rsidRPr="006755DA">
        <w:rPr>
          <w:rFonts w:ascii="Times New Roman" w:eastAsia="Times New Roman" w:hAnsi="Times New Roman" w:cs="Times New Roman"/>
          <w:i/>
          <w:sz w:val="24"/>
          <w:szCs w:val="20"/>
          <w:lang w:eastAsia="es-ES"/>
        </w:rPr>
        <w:t>tienen como objetivo ordenar la incidencia y los efectos urbanísticos, medioambientales y sobre el patrimonio urbano que las actividades producen en el territorio, mediante la regulación de su intensidad y las condiciones físicas de su desarrollo en función de las distancias, el tipo de vía urbana y circunstancias análogas</w:t>
      </w:r>
      <w:r>
        <w:rPr>
          <w:rFonts w:ascii="Times New Roman" w:eastAsia="Times New Roman" w:hAnsi="Times New Roman" w:cs="Times New Roman"/>
          <w:sz w:val="24"/>
          <w:szCs w:val="20"/>
          <w:lang w:eastAsia="es-ES"/>
        </w:rPr>
        <w:t>."</w:t>
      </w:r>
    </w:p>
    <w:p w:rsidR="0025762A" w:rsidRDefault="006755DA" w:rsidP="001804B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2. </w:t>
      </w:r>
      <w:r w:rsidR="0025762A">
        <w:rPr>
          <w:rFonts w:ascii="Times New Roman" w:eastAsia="Times New Roman" w:hAnsi="Times New Roman" w:cs="Times New Roman"/>
          <w:sz w:val="24"/>
          <w:szCs w:val="20"/>
          <w:lang w:eastAsia="es-ES"/>
        </w:rPr>
        <w:t>No se aprecia</w:t>
      </w:r>
      <w:r w:rsidR="0025762A" w:rsidRPr="0025762A">
        <w:rPr>
          <w:rFonts w:ascii="Times New Roman" w:eastAsia="Times New Roman" w:hAnsi="Times New Roman" w:cs="Times New Roman"/>
          <w:sz w:val="24"/>
          <w:szCs w:val="20"/>
          <w:lang w:eastAsia="es-ES"/>
        </w:rPr>
        <w:t xml:space="preserve"> incumplimiento por parte del plan especial de la </w:t>
      </w:r>
      <w:r w:rsidR="0025762A" w:rsidRPr="006755DA">
        <w:rPr>
          <w:rFonts w:ascii="Times New Roman" w:eastAsia="Times New Roman" w:hAnsi="Times New Roman" w:cs="Times New Roman"/>
          <w:sz w:val="24"/>
          <w:szCs w:val="20"/>
          <w:lang w:eastAsia="es-ES"/>
        </w:rPr>
        <w:t>Directiva 2006/123/CE del Parlamento Europeo y del Consejo, de 12 de diciembre de 2006, relativa a los</w:t>
      </w:r>
      <w:r w:rsidR="0025762A">
        <w:rPr>
          <w:rFonts w:ascii="Times New Roman" w:eastAsia="Times New Roman" w:hAnsi="Times New Roman" w:cs="Times New Roman"/>
          <w:sz w:val="24"/>
          <w:szCs w:val="20"/>
          <w:lang w:eastAsia="es-ES"/>
        </w:rPr>
        <w:t xml:space="preserve"> </w:t>
      </w:r>
      <w:r w:rsidR="0025762A" w:rsidRPr="006755DA">
        <w:rPr>
          <w:rFonts w:ascii="Times New Roman" w:eastAsia="Times New Roman" w:hAnsi="Times New Roman" w:cs="Times New Roman"/>
          <w:sz w:val="24"/>
          <w:szCs w:val="20"/>
          <w:lang w:eastAsia="es-ES"/>
        </w:rPr>
        <w:t>servicios en el mercado interior</w:t>
      </w:r>
      <w:r w:rsidR="0025762A">
        <w:rPr>
          <w:rFonts w:ascii="Times New Roman" w:eastAsia="Times New Roman" w:hAnsi="Times New Roman" w:cs="Times New Roman"/>
          <w:sz w:val="24"/>
          <w:szCs w:val="20"/>
          <w:lang w:eastAsia="es-ES"/>
        </w:rPr>
        <w:t xml:space="preserve">, </w:t>
      </w:r>
      <w:r w:rsidR="0025762A" w:rsidRPr="0025762A">
        <w:rPr>
          <w:rFonts w:ascii="Times New Roman" w:eastAsia="Times New Roman" w:hAnsi="Times New Roman" w:cs="Times New Roman"/>
          <w:sz w:val="24"/>
          <w:szCs w:val="20"/>
          <w:lang w:eastAsia="es-ES"/>
        </w:rPr>
        <w:t>o de la ley</w:t>
      </w:r>
      <w:r w:rsidR="0025762A">
        <w:rPr>
          <w:rFonts w:ascii="Times New Roman" w:eastAsia="Times New Roman" w:hAnsi="Times New Roman" w:cs="Times New Roman"/>
          <w:sz w:val="24"/>
          <w:szCs w:val="20"/>
          <w:lang w:eastAsia="es-ES"/>
        </w:rPr>
        <w:t xml:space="preserve"> </w:t>
      </w:r>
      <w:r w:rsidR="0025762A" w:rsidRPr="0025762A">
        <w:rPr>
          <w:rFonts w:ascii="Times New Roman" w:eastAsia="Times New Roman" w:hAnsi="Times New Roman" w:cs="Times New Roman"/>
          <w:sz w:val="24"/>
          <w:szCs w:val="20"/>
          <w:lang w:eastAsia="es-ES"/>
        </w:rPr>
        <w:t xml:space="preserve">17/2009, de 23 de noviembre, </w:t>
      </w:r>
      <w:r w:rsidR="0025762A">
        <w:rPr>
          <w:rFonts w:ascii="Times New Roman" w:eastAsia="Times New Roman" w:hAnsi="Times New Roman" w:cs="Times New Roman"/>
          <w:sz w:val="24"/>
          <w:szCs w:val="20"/>
          <w:lang w:eastAsia="es-ES"/>
        </w:rPr>
        <w:t>que</w:t>
      </w:r>
      <w:r w:rsidR="0025762A" w:rsidRPr="0025762A">
        <w:rPr>
          <w:rFonts w:ascii="Times New Roman" w:eastAsia="Times New Roman" w:hAnsi="Times New Roman" w:cs="Times New Roman"/>
          <w:sz w:val="24"/>
          <w:szCs w:val="20"/>
          <w:lang w:eastAsia="es-ES"/>
        </w:rPr>
        <w:t xml:space="preserve"> la traspuso parcialmente al derecho interno español</w:t>
      </w:r>
      <w:r w:rsidR="0025762A">
        <w:rPr>
          <w:rFonts w:ascii="Times New Roman" w:eastAsia="Times New Roman" w:hAnsi="Times New Roman" w:cs="Times New Roman"/>
          <w:sz w:val="24"/>
          <w:szCs w:val="20"/>
          <w:lang w:eastAsia="es-ES"/>
        </w:rPr>
        <w:t>, porque e</w:t>
      </w:r>
      <w:r>
        <w:rPr>
          <w:rFonts w:ascii="Times New Roman" w:eastAsia="Times New Roman" w:hAnsi="Times New Roman" w:cs="Times New Roman"/>
          <w:sz w:val="24"/>
          <w:szCs w:val="20"/>
          <w:lang w:eastAsia="es-ES"/>
        </w:rPr>
        <w:t xml:space="preserve">l </w:t>
      </w:r>
      <w:r w:rsidRPr="006755DA">
        <w:rPr>
          <w:rFonts w:ascii="Times New Roman" w:eastAsia="Times New Roman" w:hAnsi="Times New Roman" w:cs="Times New Roman"/>
          <w:sz w:val="24"/>
          <w:szCs w:val="20"/>
          <w:lang w:eastAsia="es-ES"/>
        </w:rPr>
        <w:t xml:space="preserve">plan </w:t>
      </w:r>
      <w:r>
        <w:rPr>
          <w:rFonts w:ascii="Times New Roman" w:eastAsia="Times New Roman" w:hAnsi="Times New Roman" w:cs="Times New Roman"/>
          <w:sz w:val="24"/>
          <w:szCs w:val="20"/>
          <w:lang w:eastAsia="es-ES"/>
        </w:rPr>
        <w:t xml:space="preserve">justifica sus determinaciones y </w:t>
      </w:r>
      <w:r w:rsidR="0025762A">
        <w:rPr>
          <w:rFonts w:ascii="Times New Roman" w:eastAsia="Times New Roman" w:hAnsi="Times New Roman" w:cs="Times New Roman"/>
          <w:sz w:val="24"/>
          <w:szCs w:val="20"/>
          <w:lang w:eastAsia="es-ES"/>
        </w:rPr>
        <w:t>por</w:t>
      </w:r>
      <w:r>
        <w:rPr>
          <w:rFonts w:ascii="Times New Roman" w:eastAsia="Times New Roman" w:hAnsi="Times New Roman" w:cs="Times New Roman"/>
          <w:sz w:val="24"/>
          <w:szCs w:val="20"/>
          <w:lang w:eastAsia="es-ES"/>
        </w:rPr>
        <w:t xml:space="preserve">que esta </w:t>
      </w:r>
      <w:r w:rsidRPr="006755DA">
        <w:rPr>
          <w:rFonts w:ascii="Times New Roman" w:eastAsia="Times New Roman" w:hAnsi="Times New Roman" w:cs="Times New Roman"/>
          <w:sz w:val="24"/>
          <w:szCs w:val="20"/>
          <w:lang w:eastAsia="es-ES"/>
        </w:rPr>
        <w:t xml:space="preserve">Directiva </w:t>
      </w:r>
      <w:r>
        <w:rPr>
          <w:rFonts w:ascii="Times New Roman" w:eastAsia="Times New Roman" w:hAnsi="Times New Roman" w:cs="Times New Roman"/>
          <w:sz w:val="24"/>
          <w:szCs w:val="20"/>
          <w:lang w:eastAsia="es-ES"/>
        </w:rPr>
        <w:t xml:space="preserve">excluye de su aplicación al urbanismo. </w:t>
      </w:r>
      <w:r w:rsidR="0025762A">
        <w:rPr>
          <w:rFonts w:ascii="Times New Roman" w:eastAsia="Times New Roman" w:hAnsi="Times New Roman" w:cs="Times New Roman"/>
          <w:sz w:val="24"/>
          <w:szCs w:val="20"/>
          <w:lang w:eastAsia="es-ES"/>
        </w:rPr>
        <w:t>Las</w:t>
      </w:r>
      <w:r w:rsidRPr="006755DA">
        <w:rPr>
          <w:rFonts w:ascii="Times New Roman" w:eastAsia="Times New Roman" w:hAnsi="Times New Roman" w:cs="Times New Roman"/>
          <w:sz w:val="24"/>
          <w:szCs w:val="20"/>
          <w:lang w:eastAsia="es-ES"/>
        </w:rPr>
        <w:t xml:space="preserve"> determinaciones </w:t>
      </w:r>
      <w:r w:rsidR="0025762A">
        <w:rPr>
          <w:rFonts w:ascii="Times New Roman" w:eastAsia="Times New Roman" w:hAnsi="Times New Roman" w:cs="Times New Roman"/>
          <w:sz w:val="24"/>
          <w:szCs w:val="20"/>
          <w:lang w:eastAsia="es-ES"/>
        </w:rPr>
        <w:t xml:space="preserve">del PE </w:t>
      </w:r>
      <w:r w:rsidR="001804BD">
        <w:rPr>
          <w:rFonts w:ascii="Times New Roman" w:eastAsia="Times New Roman" w:hAnsi="Times New Roman" w:cs="Times New Roman"/>
          <w:sz w:val="24"/>
          <w:szCs w:val="20"/>
          <w:lang w:eastAsia="es-ES"/>
        </w:rPr>
        <w:t>justifican</w:t>
      </w:r>
      <w:r w:rsidRPr="006755DA">
        <w:rPr>
          <w:rFonts w:ascii="Times New Roman" w:eastAsia="Times New Roman" w:hAnsi="Times New Roman" w:cs="Times New Roman"/>
          <w:sz w:val="24"/>
          <w:szCs w:val="20"/>
          <w:lang w:eastAsia="es-ES"/>
        </w:rPr>
        <w:t xml:space="preserve"> las singularidades del distrito de Ciutat Vella, </w:t>
      </w:r>
      <w:r w:rsidR="001804BD">
        <w:rPr>
          <w:rFonts w:ascii="Times New Roman" w:eastAsia="Times New Roman" w:hAnsi="Times New Roman" w:cs="Times New Roman"/>
          <w:sz w:val="24"/>
          <w:szCs w:val="20"/>
          <w:lang w:eastAsia="es-ES"/>
        </w:rPr>
        <w:t xml:space="preserve">con una </w:t>
      </w:r>
      <w:r w:rsidRPr="006755DA">
        <w:rPr>
          <w:rFonts w:ascii="Times New Roman" w:eastAsia="Times New Roman" w:hAnsi="Times New Roman" w:cs="Times New Roman"/>
          <w:sz w:val="24"/>
          <w:szCs w:val="20"/>
          <w:lang w:eastAsia="es-ES"/>
        </w:rPr>
        <w:t>trama muy particular, gran densidad de población y altísimo grado de actividad lúdica, turística, terciaria</w:t>
      </w:r>
      <w:r w:rsidR="001804BD">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y comercial, persiguiéndose una distribución coherente de las actividades, redistribuyendo y equilibrando</w:t>
      </w:r>
      <w:r w:rsidR="001804BD">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los usos y respetando la vida diaria de los ciudadanos (apartado 1.1.1), con cita de otros planes de usos</w:t>
      </w:r>
      <w:r w:rsidR="001804BD">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aprobados al amparo de la Carta Municipal de Barcelona y la Ordenanza Municipal de actividades y de</w:t>
      </w:r>
      <w:r w:rsidR="001804BD">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los establecimientos de concurrencia pública, que también intentaron encontrar el equilibrio entre vecinos,</w:t>
      </w:r>
      <w:r w:rsidR="001804BD">
        <w:rPr>
          <w:rFonts w:ascii="Times New Roman" w:eastAsia="Times New Roman" w:hAnsi="Times New Roman" w:cs="Times New Roman"/>
          <w:sz w:val="24"/>
          <w:szCs w:val="20"/>
          <w:lang w:eastAsia="es-ES"/>
        </w:rPr>
        <w:t xml:space="preserve"> </w:t>
      </w:r>
      <w:r w:rsidRPr="006755DA">
        <w:rPr>
          <w:rFonts w:ascii="Times New Roman" w:eastAsia="Times New Roman" w:hAnsi="Times New Roman" w:cs="Times New Roman"/>
          <w:sz w:val="24"/>
          <w:szCs w:val="20"/>
          <w:lang w:eastAsia="es-ES"/>
        </w:rPr>
        <w:t>comercio de proximidad y establecimientos de concurrencia pública, hostelería y otros</w:t>
      </w:r>
      <w:r w:rsidR="001804BD">
        <w:rPr>
          <w:rFonts w:ascii="Times New Roman" w:eastAsia="Times New Roman" w:hAnsi="Times New Roman" w:cs="Times New Roman"/>
          <w:sz w:val="24"/>
          <w:szCs w:val="20"/>
          <w:lang w:eastAsia="es-ES"/>
        </w:rPr>
        <w:t xml:space="preserve">. </w:t>
      </w:r>
      <w:r w:rsidR="001804BD" w:rsidRPr="001804BD">
        <w:rPr>
          <w:rFonts w:ascii="Times New Roman" w:eastAsia="Times New Roman" w:hAnsi="Times New Roman" w:cs="Times New Roman"/>
          <w:sz w:val="24"/>
          <w:szCs w:val="20"/>
          <w:lang w:eastAsia="es-ES"/>
        </w:rPr>
        <w:t xml:space="preserve">Justificación que </w:t>
      </w:r>
      <w:r w:rsidR="001804BD">
        <w:rPr>
          <w:rFonts w:ascii="Times New Roman" w:eastAsia="Times New Roman" w:hAnsi="Times New Roman" w:cs="Times New Roman"/>
          <w:sz w:val="24"/>
          <w:szCs w:val="20"/>
          <w:lang w:eastAsia="es-ES"/>
        </w:rPr>
        <w:t>atiende al cumplimiento</w:t>
      </w:r>
      <w:r w:rsidR="001804BD" w:rsidRPr="001804BD">
        <w:rPr>
          <w:rFonts w:ascii="Times New Roman" w:eastAsia="Times New Roman" w:hAnsi="Times New Roman" w:cs="Times New Roman"/>
          <w:sz w:val="24"/>
          <w:szCs w:val="20"/>
          <w:lang w:eastAsia="es-ES"/>
        </w:rPr>
        <w:t xml:space="preserve"> del objetivo del desarrollo urbanístico sostenible</w:t>
      </w:r>
      <w:r w:rsidR="001804BD">
        <w:rPr>
          <w:rFonts w:ascii="Times New Roman" w:eastAsia="Times New Roman" w:hAnsi="Times New Roman" w:cs="Times New Roman"/>
          <w:sz w:val="24"/>
          <w:szCs w:val="20"/>
          <w:lang w:eastAsia="es-ES"/>
        </w:rPr>
        <w:t xml:space="preserve"> y, precisamente por las sensibles materias que regula el PE, quedan fuera de la regulación de la directiva.</w:t>
      </w:r>
      <w:r w:rsidR="0025762A">
        <w:rPr>
          <w:rFonts w:ascii="Times New Roman" w:eastAsia="Times New Roman" w:hAnsi="Times New Roman" w:cs="Times New Roman"/>
          <w:sz w:val="24"/>
          <w:szCs w:val="20"/>
          <w:lang w:eastAsia="es-ES"/>
        </w:rPr>
        <w:t xml:space="preserve"> </w:t>
      </w:r>
    </w:p>
    <w:p w:rsidR="00EB4B39" w:rsidRDefault="0025762A" w:rsidP="001804BD">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 xml:space="preserve">3. </w:t>
      </w:r>
      <w:r w:rsidR="00EB4B39">
        <w:rPr>
          <w:rFonts w:ascii="Times New Roman" w:eastAsia="Times New Roman" w:hAnsi="Times New Roman" w:cs="Times New Roman"/>
          <w:sz w:val="24"/>
          <w:szCs w:val="20"/>
          <w:lang w:eastAsia="es-ES"/>
        </w:rPr>
        <w:t>L</w:t>
      </w:r>
      <w:r>
        <w:rPr>
          <w:rFonts w:ascii="Times New Roman" w:eastAsia="Times New Roman" w:hAnsi="Times New Roman" w:cs="Times New Roman"/>
          <w:sz w:val="24"/>
          <w:szCs w:val="20"/>
          <w:lang w:eastAsia="es-ES"/>
        </w:rPr>
        <w:t>a</w:t>
      </w:r>
      <w:r w:rsidR="001804BD" w:rsidRPr="001804BD">
        <w:rPr>
          <w:rFonts w:ascii="Times New Roman" w:eastAsia="Times New Roman" w:hAnsi="Times New Roman" w:cs="Times New Roman"/>
          <w:sz w:val="24"/>
          <w:szCs w:val="20"/>
          <w:lang w:eastAsia="es-ES"/>
        </w:rPr>
        <w:t xml:space="preserve"> incidencia en el entorno</w:t>
      </w:r>
      <w:r>
        <w:rPr>
          <w:rFonts w:ascii="Times New Roman" w:eastAsia="Times New Roman" w:hAnsi="Times New Roman" w:cs="Times New Roman"/>
          <w:sz w:val="24"/>
          <w:szCs w:val="20"/>
          <w:lang w:eastAsia="es-ES"/>
        </w:rPr>
        <w:t xml:space="preserve"> </w:t>
      </w:r>
      <w:r w:rsidR="001804BD" w:rsidRPr="001804BD">
        <w:rPr>
          <w:rFonts w:ascii="Times New Roman" w:eastAsia="Times New Roman" w:hAnsi="Times New Roman" w:cs="Times New Roman"/>
          <w:sz w:val="24"/>
          <w:szCs w:val="20"/>
          <w:lang w:eastAsia="es-ES"/>
        </w:rPr>
        <w:t>urbano y en otras infraestructuras existentes</w:t>
      </w:r>
      <w:r w:rsidR="00EB4B39">
        <w:rPr>
          <w:rFonts w:ascii="Times New Roman" w:eastAsia="Times New Roman" w:hAnsi="Times New Roman" w:cs="Times New Roman"/>
          <w:sz w:val="24"/>
          <w:szCs w:val="20"/>
          <w:lang w:eastAsia="es-ES"/>
        </w:rPr>
        <w:t xml:space="preserve"> acredita el p</w:t>
      </w:r>
      <w:r w:rsidR="001804BD" w:rsidRPr="001804BD">
        <w:rPr>
          <w:rFonts w:ascii="Times New Roman" w:eastAsia="Times New Roman" w:hAnsi="Times New Roman" w:cs="Times New Roman"/>
          <w:sz w:val="24"/>
          <w:szCs w:val="20"/>
          <w:lang w:eastAsia="es-ES"/>
        </w:rPr>
        <w:t>eso vertebrador del aspecto urbanístico, más allá del servicio a prestar en sí mismo considerado</w:t>
      </w:r>
      <w:r w:rsidR="00EB4B39">
        <w:rPr>
          <w:rFonts w:ascii="Times New Roman" w:eastAsia="Times New Roman" w:hAnsi="Times New Roman" w:cs="Times New Roman"/>
          <w:sz w:val="24"/>
          <w:szCs w:val="20"/>
          <w:lang w:eastAsia="es-ES"/>
        </w:rPr>
        <w:t>.</w:t>
      </w:r>
    </w:p>
    <w:p w:rsidR="00EB4B39" w:rsidRDefault="00EB4B39"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4. El PE </w:t>
      </w:r>
      <w:r w:rsidRPr="00EB4B39">
        <w:rPr>
          <w:rFonts w:ascii="Times New Roman" w:eastAsia="Times New Roman" w:hAnsi="Times New Roman" w:cs="Times New Roman"/>
          <w:sz w:val="24"/>
          <w:szCs w:val="20"/>
          <w:lang w:eastAsia="es-ES"/>
        </w:rPr>
        <w:t xml:space="preserve">se sustenta en una motivación de la que </w:t>
      </w:r>
      <w:r>
        <w:rPr>
          <w:rFonts w:ascii="Times New Roman" w:eastAsia="Times New Roman" w:hAnsi="Times New Roman" w:cs="Times New Roman"/>
          <w:sz w:val="24"/>
          <w:szCs w:val="20"/>
          <w:lang w:eastAsia="es-ES"/>
        </w:rPr>
        <w:t xml:space="preserve">destaca </w:t>
      </w:r>
      <w:r w:rsidRPr="00EB4B39">
        <w:rPr>
          <w:rFonts w:ascii="Times New Roman" w:eastAsia="Times New Roman" w:hAnsi="Times New Roman" w:cs="Times New Roman"/>
          <w:sz w:val="24"/>
          <w:szCs w:val="20"/>
          <w:lang w:eastAsia="es-ES"/>
        </w:rPr>
        <w:t>su conexión con un fenómeno real, como lo es el de la incidencia en la dinámica de las ciudades de los</w:t>
      </w:r>
      <w:r>
        <w:rPr>
          <w:rFonts w:ascii="Times New Roman" w:eastAsia="Times New Roman" w:hAnsi="Times New Roman" w:cs="Times New Roman"/>
          <w:sz w:val="24"/>
          <w:szCs w:val="20"/>
          <w:lang w:eastAsia="es-ES"/>
        </w:rPr>
        <w:t xml:space="preserve"> </w:t>
      </w:r>
      <w:r w:rsidRPr="00EB4B39">
        <w:rPr>
          <w:rFonts w:ascii="Times New Roman" w:eastAsia="Times New Roman" w:hAnsi="Times New Roman" w:cs="Times New Roman"/>
          <w:sz w:val="24"/>
          <w:szCs w:val="20"/>
          <w:lang w:eastAsia="es-ES"/>
        </w:rPr>
        <w:t>alojamientos turísticos, fenómeno que en Barcelona y en su entorno metropolitano ha dejado de ser estacional</w:t>
      </w:r>
      <w:r>
        <w:rPr>
          <w:rFonts w:ascii="Times New Roman" w:eastAsia="Times New Roman" w:hAnsi="Times New Roman" w:cs="Times New Roman"/>
          <w:sz w:val="24"/>
          <w:szCs w:val="20"/>
          <w:lang w:eastAsia="es-ES"/>
        </w:rPr>
        <w:t xml:space="preserve"> </w:t>
      </w:r>
      <w:r w:rsidRPr="00EB4B39">
        <w:rPr>
          <w:rFonts w:ascii="Times New Roman" w:eastAsia="Times New Roman" w:hAnsi="Times New Roman" w:cs="Times New Roman"/>
          <w:sz w:val="24"/>
          <w:szCs w:val="20"/>
          <w:lang w:eastAsia="es-ES"/>
        </w:rPr>
        <w:t>para devenir una realidad social permanente</w:t>
      </w:r>
      <w:r>
        <w:rPr>
          <w:rFonts w:ascii="Times New Roman" w:eastAsia="Times New Roman" w:hAnsi="Times New Roman" w:cs="Times New Roman"/>
          <w:sz w:val="24"/>
          <w:szCs w:val="20"/>
          <w:lang w:eastAsia="es-ES"/>
        </w:rPr>
        <w:t>, con las secuelas en la convivencia ciudadana, la degradación del espacio público, la generación de inseguridad ciudadana o el encarecimiento del alquiler ordinario en los centros urbanos.</w:t>
      </w:r>
    </w:p>
    <w:p w:rsidR="000135AD" w:rsidRDefault="000135AD"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el fundamento quinto de la STS se analiza l</w:t>
      </w:r>
      <w:r w:rsidR="00EB4B39" w:rsidRPr="00EB4B39">
        <w:rPr>
          <w:rFonts w:ascii="Times New Roman" w:eastAsia="Times New Roman" w:hAnsi="Times New Roman" w:cs="Times New Roman"/>
          <w:sz w:val="24"/>
          <w:szCs w:val="20"/>
          <w:lang w:eastAsia="es-ES"/>
        </w:rPr>
        <w:t xml:space="preserve">a cuestión </w:t>
      </w:r>
      <w:r>
        <w:rPr>
          <w:rFonts w:ascii="Times New Roman" w:eastAsia="Times New Roman" w:hAnsi="Times New Roman" w:cs="Times New Roman"/>
          <w:sz w:val="24"/>
          <w:szCs w:val="20"/>
          <w:lang w:eastAsia="es-ES"/>
        </w:rPr>
        <w:t xml:space="preserve">que presenta interés casacional, consistente en </w:t>
      </w:r>
      <w:r w:rsidR="00EB4B39" w:rsidRPr="00EB4B39">
        <w:rPr>
          <w:rFonts w:ascii="Times New Roman" w:eastAsia="Times New Roman" w:hAnsi="Times New Roman" w:cs="Times New Roman"/>
          <w:sz w:val="24"/>
          <w:szCs w:val="20"/>
          <w:lang w:eastAsia="es-ES"/>
        </w:rPr>
        <w:t>determinar en qué medida los instrumentos de planeamiento urbanístico pueden regular las</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condiciones de acceso y ejercicio de una actividad e, incluso, limitar en un concreto ámbito territorial el ejercicio</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de actividades previamente legalizadas, referidas concretamente a las viviendas de uso turístico, y la incidencia</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de esa regulación en el ámbito de la libre prestación de servicios</w:t>
      </w:r>
      <w:r>
        <w:rPr>
          <w:rFonts w:ascii="Times New Roman" w:eastAsia="Times New Roman" w:hAnsi="Times New Roman" w:cs="Times New Roman"/>
          <w:sz w:val="24"/>
          <w:szCs w:val="20"/>
          <w:lang w:eastAsia="es-ES"/>
        </w:rPr>
        <w:t>.</w:t>
      </w:r>
    </w:p>
    <w:p w:rsidR="000135AD" w:rsidRDefault="000135AD"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TS confirma que la situación ya fue examinada por la sentencia de 19 de noviembre de 2020</w:t>
      </w:r>
      <w:r w:rsidR="00EB4B39" w:rsidRPr="00EB4B39">
        <w:rPr>
          <w:rFonts w:ascii="Times New Roman" w:eastAsia="Times New Roman" w:hAnsi="Times New Roman" w:cs="Times New Roman"/>
          <w:sz w:val="24"/>
          <w:szCs w:val="20"/>
          <w:lang w:eastAsia="es-ES"/>
        </w:rPr>
        <w:t xml:space="preserve">, en sentido </w:t>
      </w:r>
      <w:r>
        <w:rPr>
          <w:rFonts w:ascii="Times New Roman" w:eastAsia="Times New Roman" w:hAnsi="Times New Roman" w:cs="Times New Roman"/>
          <w:sz w:val="24"/>
          <w:szCs w:val="20"/>
          <w:lang w:eastAsia="es-ES"/>
        </w:rPr>
        <w:t xml:space="preserve">distinto al pretendido por los </w:t>
      </w:r>
      <w:r w:rsidR="00EB4B39" w:rsidRPr="00EB4B39">
        <w:rPr>
          <w:rFonts w:ascii="Times New Roman" w:eastAsia="Times New Roman" w:hAnsi="Times New Roman" w:cs="Times New Roman"/>
          <w:sz w:val="24"/>
          <w:szCs w:val="20"/>
          <w:lang w:eastAsia="es-ES"/>
        </w:rPr>
        <w:t>recurrentes</w:t>
      </w:r>
      <w:r>
        <w:rPr>
          <w:rFonts w:ascii="Times New Roman" w:eastAsia="Times New Roman" w:hAnsi="Times New Roman" w:cs="Times New Roman"/>
          <w:sz w:val="24"/>
          <w:szCs w:val="20"/>
          <w:lang w:eastAsia="es-ES"/>
        </w:rPr>
        <w:t xml:space="preserve">. En esta sentencia se atiende a la </w:t>
      </w:r>
      <w:r w:rsidR="00EB4B39" w:rsidRPr="00EB4B39">
        <w:rPr>
          <w:rFonts w:ascii="Times New Roman" w:eastAsia="Times New Roman" w:hAnsi="Times New Roman" w:cs="Times New Roman"/>
          <w:sz w:val="24"/>
          <w:szCs w:val="20"/>
          <w:lang w:eastAsia="es-ES"/>
        </w:rPr>
        <w:t xml:space="preserve">doctrina </w:t>
      </w:r>
      <w:r>
        <w:rPr>
          <w:rFonts w:ascii="Times New Roman" w:eastAsia="Times New Roman" w:hAnsi="Times New Roman" w:cs="Times New Roman"/>
          <w:sz w:val="24"/>
          <w:szCs w:val="20"/>
          <w:lang w:eastAsia="es-ES"/>
        </w:rPr>
        <w:t>de la</w:t>
      </w:r>
      <w:r w:rsidR="00EB4B39" w:rsidRPr="00EB4B39">
        <w:rPr>
          <w:rFonts w:ascii="Times New Roman" w:eastAsia="Times New Roman" w:hAnsi="Times New Roman" w:cs="Times New Roman"/>
          <w:sz w:val="24"/>
          <w:szCs w:val="20"/>
          <w:lang w:eastAsia="es-ES"/>
        </w:rPr>
        <w:t xml:space="preserve"> STJUE de 22</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de septiembre de 2020 (Gran Sala, asuntos acumulados C-724/18 y C-727/18, Cali Apartments SCI y HX y le</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Procureur général près la cour d'appel de Paris y la Ville de Paris).</w:t>
      </w:r>
    </w:p>
    <w:p w:rsidR="000135AD" w:rsidRDefault="00EB4B39"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EB4B39">
        <w:rPr>
          <w:rFonts w:ascii="Times New Roman" w:eastAsia="Times New Roman" w:hAnsi="Times New Roman" w:cs="Times New Roman"/>
          <w:sz w:val="24"/>
          <w:szCs w:val="20"/>
          <w:lang w:eastAsia="es-ES"/>
        </w:rPr>
        <w:t>Resu</w:t>
      </w:r>
      <w:r w:rsidR="000135AD">
        <w:rPr>
          <w:rFonts w:ascii="Times New Roman" w:eastAsia="Times New Roman" w:hAnsi="Times New Roman" w:cs="Times New Roman"/>
          <w:sz w:val="24"/>
          <w:szCs w:val="20"/>
          <w:lang w:eastAsia="es-ES"/>
        </w:rPr>
        <w:t>me esa doctrina en los siguientes aspectos:</w:t>
      </w:r>
    </w:p>
    <w:p w:rsidR="00EB4B39" w:rsidRPr="00EB4B39" w:rsidRDefault="000135AD"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1. L</w:t>
      </w:r>
      <w:r w:rsidR="00EB4B39" w:rsidRPr="00EB4B39">
        <w:rPr>
          <w:rFonts w:ascii="Times New Roman" w:eastAsia="Times New Roman" w:hAnsi="Times New Roman" w:cs="Times New Roman"/>
          <w:sz w:val="24"/>
          <w:szCs w:val="20"/>
          <w:lang w:eastAsia="es-ES"/>
        </w:rPr>
        <w:t>a potestad de</w:t>
      </w:r>
      <w:r>
        <w:rPr>
          <w:rFonts w:ascii="Times New Roman" w:eastAsia="Times New Roman" w:hAnsi="Times New Roman" w:cs="Times New Roman"/>
          <w:sz w:val="24"/>
          <w:szCs w:val="20"/>
          <w:lang w:eastAsia="es-ES"/>
        </w:rPr>
        <w:t xml:space="preserve"> modificación del </w:t>
      </w:r>
      <w:r w:rsidR="00EB4B39" w:rsidRPr="00EB4B39">
        <w:rPr>
          <w:rFonts w:ascii="Times New Roman" w:eastAsia="Times New Roman" w:hAnsi="Times New Roman" w:cs="Times New Roman"/>
          <w:sz w:val="24"/>
          <w:szCs w:val="20"/>
          <w:lang w:eastAsia="es-ES"/>
        </w:rPr>
        <w:t>planeamiento</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(ius variandi), sus fundamentos y límites</w:t>
      </w:r>
      <w:r>
        <w:rPr>
          <w:rFonts w:ascii="Times New Roman" w:eastAsia="Times New Roman" w:hAnsi="Times New Roman" w:cs="Times New Roman"/>
          <w:sz w:val="24"/>
          <w:szCs w:val="20"/>
          <w:lang w:eastAsia="es-ES"/>
        </w:rPr>
        <w:t>.</w:t>
      </w:r>
    </w:p>
    <w:p w:rsidR="0092729C" w:rsidRDefault="00EB4B39"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EB4B39">
        <w:rPr>
          <w:rFonts w:ascii="Times New Roman" w:eastAsia="Times New Roman" w:hAnsi="Times New Roman" w:cs="Times New Roman"/>
          <w:sz w:val="24"/>
          <w:szCs w:val="20"/>
          <w:lang w:eastAsia="es-ES"/>
        </w:rPr>
        <w:t>E</w:t>
      </w:r>
      <w:r w:rsidR="000135AD">
        <w:rPr>
          <w:rFonts w:ascii="Times New Roman" w:eastAsia="Times New Roman" w:hAnsi="Times New Roman" w:cs="Times New Roman"/>
          <w:sz w:val="24"/>
          <w:szCs w:val="20"/>
          <w:lang w:eastAsia="es-ES"/>
        </w:rPr>
        <w:t xml:space="preserve">l </w:t>
      </w:r>
      <w:r w:rsidRPr="00EB4B39">
        <w:rPr>
          <w:rFonts w:ascii="Times New Roman" w:eastAsia="Times New Roman" w:hAnsi="Times New Roman" w:cs="Times New Roman"/>
          <w:sz w:val="24"/>
          <w:szCs w:val="20"/>
          <w:lang w:eastAsia="es-ES"/>
        </w:rPr>
        <w:t>urbanismo de las grandes ciudades consiste hoy en tratar de mejorar</w:t>
      </w:r>
      <w:r w:rsidR="000135AD">
        <w:rPr>
          <w:rFonts w:ascii="Times New Roman" w:eastAsia="Times New Roman" w:hAnsi="Times New Roman" w:cs="Times New Roman"/>
          <w:sz w:val="24"/>
          <w:szCs w:val="20"/>
          <w:lang w:eastAsia="es-ES"/>
        </w:rPr>
        <w:t xml:space="preserve"> </w:t>
      </w:r>
      <w:r w:rsidRPr="00EB4B39">
        <w:rPr>
          <w:rFonts w:ascii="Times New Roman" w:eastAsia="Times New Roman" w:hAnsi="Times New Roman" w:cs="Times New Roman"/>
          <w:sz w:val="24"/>
          <w:szCs w:val="20"/>
          <w:lang w:eastAsia="es-ES"/>
        </w:rPr>
        <w:t>la ciudad, adaptándola a las nuevas realidades, determinando nuevas centralidades, pero manteniendo su</w:t>
      </w:r>
      <w:r w:rsidR="000135AD">
        <w:rPr>
          <w:rFonts w:ascii="Times New Roman" w:eastAsia="Times New Roman" w:hAnsi="Times New Roman" w:cs="Times New Roman"/>
          <w:sz w:val="24"/>
          <w:szCs w:val="20"/>
          <w:lang w:eastAsia="es-ES"/>
        </w:rPr>
        <w:t xml:space="preserve"> </w:t>
      </w:r>
      <w:r w:rsidRPr="00EB4B39">
        <w:rPr>
          <w:rFonts w:ascii="Times New Roman" w:eastAsia="Times New Roman" w:hAnsi="Times New Roman" w:cs="Times New Roman"/>
          <w:sz w:val="24"/>
          <w:szCs w:val="20"/>
          <w:lang w:eastAsia="es-ES"/>
        </w:rPr>
        <w:t xml:space="preserve">esencialidad. </w:t>
      </w:r>
    </w:p>
    <w:p w:rsidR="00EB4B39" w:rsidRPr="00EB4B39" w:rsidRDefault="0092729C"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2. Se trata de aplicar el principio de desarrollo sostenible al urbanismo, en la línea de la nueva A</w:t>
      </w:r>
      <w:r w:rsidR="00EB4B39" w:rsidRPr="00EB4B39">
        <w:rPr>
          <w:rFonts w:ascii="Times New Roman" w:eastAsia="Times New Roman" w:hAnsi="Times New Roman" w:cs="Times New Roman"/>
          <w:sz w:val="24"/>
          <w:szCs w:val="20"/>
          <w:lang w:eastAsia="es-ES"/>
        </w:rPr>
        <w:t>genda Urbana (aprobada en el Conferencia de las Naciones Unidas sobre la Vivienda y el Desarrollo</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Urbano Sostenible ---Hábitat III--- celebrada en Quito el 20 de octubre de 2016, y ratificada por la Asamblea</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General de Naciones Unidas</w:t>
      </w:r>
      <w:r>
        <w:rPr>
          <w:rFonts w:ascii="Times New Roman" w:eastAsia="Times New Roman" w:hAnsi="Times New Roman" w:cs="Times New Roman"/>
          <w:sz w:val="24"/>
          <w:szCs w:val="20"/>
          <w:lang w:eastAsia="es-ES"/>
        </w:rPr>
        <w:t>)</w:t>
      </w:r>
      <w:r w:rsidR="00EB4B39" w:rsidRPr="00EB4B39">
        <w:rPr>
          <w:rFonts w:ascii="Times New Roman" w:eastAsia="Times New Roman" w:hAnsi="Times New Roman" w:cs="Times New Roman"/>
          <w:sz w:val="24"/>
          <w:szCs w:val="20"/>
          <w:lang w:eastAsia="es-ES"/>
        </w:rPr>
        <w:t>:</w:t>
      </w:r>
    </w:p>
    <w:p w:rsidR="00EB4B39" w:rsidRPr="00EB4B39" w:rsidRDefault="0092729C"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L</w:t>
      </w:r>
      <w:r w:rsidR="00EB4B39" w:rsidRPr="00EB4B39">
        <w:rPr>
          <w:rFonts w:ascii="Times New Roman" w:eastAsia="Times New Roman" w:hAnsi="Times New Roman" w:cs="Times New Roman"/>
          <w:sz w:val="24"/>
          <w:szCs w:val="20"/>
          <w:lang w:eastAsia="es-ES"/>
        </w:rPr>
        <w:t>a urbanización puede ser un instrumento poderoso para lograr el desarrollo sostenible, tanto en</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los países en desarrollo como en los países desarrollados.</w:t>
      </w:r>
    </w:p>
    <w:p w:rsidR="0092729C" w:rsidRDefault="0092729C"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actual es </w:t>
      </w:r>
      <w:r w:rsidR="00EB4B39" w:rsidRPr="00EB4B39">
        <w:rPr>
          <w:rFonts w:ascii="Times New Roman" w:eastAsia="Times New Roman" w:hAnsi="Times New Roman" w:cs="Times New Roman"/>
          <w:sz w:val="24"/>
          <w:szCs w:val="20"/>
          <w:lang w:eastAsia="es-ES"/>
        </w:rPr>
        <w:t>un urbanismo cambiante,</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que intenta adaptarse a las nuevas circunstancias, realidades y necesidades sociales, urbanísticas y</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medioambientales, y que, a tal fin, utiliza sus instrumentos de modificación para conseguir y alcanzar la</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 xml:space="preserve">inevitable transformación de las ciudades. </w:t>
      </w:r>
      <w:r>
        <w:rPr>
          <w:rFonts w:ascii="Times New Roman" w:eastAsia="Times New Roman" w:hAnsi="Times New Roman" w:cs="Times New Roman"/>
          <w:sz w:val="24"/>
          <w:szCs w:val="20"/>
          <w:lang w:eastAsia="es-ES"/>
        </w:rPr>
        <w:t xml:space="preserve">Las AA. PP. con competencia en urbanismo están </w:t>
      </w:r>
      <w:r w:rsidR="00EB4B39" w:rsidRPr="00EB4B39">
        <w:rPr>
          <w:rFonts w:ascii="Times New Roman" w:eastAsia="Times New Roman" w:hAnsi="Times New Roman" w:cs="Times New Roman"/>
          <w:sz w:val="24"/>
          <w:szCs w:val="20"/>
          <w:lang w:eastAsia="es-ES"/>
        </w:rPr>
        <w:t xml:space="preserve">legitimadas </w:t>
      </w:r>
      <w:r>
        <w:rPr>
          <w:rFonts w:ascii="Times New Roman" w:eastAsia="Times New Roman" w:hAnsi="Times New Roman" w:cs="Times New Roman"/>
          <w:sz w:val="24"/>
          <w:szCs w:val="20"/>
          <w:lang w:eastAsia="es-ES"/>
        </w:rPr>
        <w:t xml:space="preserve">y también </w:t>
      </w:r>
      <w:r w:rsidR="00EB4B39" w:rsidRPr="00EB4B39">
        <w:rPr>
          <w:rFonts w:ascii="Times New Roman" w:eastAsia="Times New Roman" w:hAnsi="Times New Roman" w:cs="Times New Roman"/>
          <w:sz w:val="24"/>
          <w:szCs w:val="20"/>
          <w:lang w:eastAsia="es-ES"/>
        </w:rPr>
        <w:t>obligadas</w:t>
      </w:r>
      <w:r>
        <w:rPr>
          <w:rFonts w:ascii="Times New Roman" w:eastAsia="Times New Roman" w:hAnsi="Times New Roman" w:cs="Times New Roman"/>
          <w:sz w:val="24"/>
          <w:szCs w:val="20"/>
          <w:lang w:eastAsia="es-ES"/>
        </w:rPr>
        <w:t xml:space="preserve"> para</w:t>
      </w:r>
      <w:r w:rsidR="00EB4B39" w:rsidRPr="00EB4B39">
        <w:rPr>
          <w:rFonts w:ascii="Times New Roman" w:eastAsia="Times New Roman" w:hAnsi="Times New Roman" w:cs="Times New Roman"/>
          <w:sz w:val="24"/>
          <w:szCs w:val="20"/>
          <w:lang w:eastAsia="es-ES"/>
        </w:rPr>
        <w:t xml:space="preserve"> evitar la desertización de los pueblos</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y ciudades, lleva</w:t>
      </w:r>
      <w:r>
        <w:rPr>
          <w:rFonts w:ascii="Times New Roman" w:eastAsia="Times New Roman" w:hAnsi="Times New Roman" w:cs="Times New Roman"/>
          <w:sz w:val="24"/>
          <w:szCs w:val="20"/>
          <w:lang w:eastAsia="es-ES"/>
        </w:rPr>
        <w:t>n</w:t>
      </w:r>
      <w:r w:rsidR="00EB4B39" w:rsidRPr="00EB4B39">
        <w:rPr>
          <w:rFonts w:ascii="Times New Roman" w:eastAsia="Times New Roman" w:hAnsi="Times New Roman" w:cs="Times New Roman"/>
          <w:sz w:val="24"/>
          <w:szCs w:val="20"/>
          <w:lang w:eastAsia="es-ES"/>
        </w:rPr>
        <w:t>d</w:t>
      </w:r>
      <w:r>
        <w:rPr>
          <w:rFonts w:ascii="Times New Roman" w:eastAsia="Times New Roman" w:hAnsi="Times New Roman" w:cs="Times New Roman"/>
          <w:sz w:val="24"/>
          <w:szCs w:val="20"/>
          <w:lang w:eastAsia="es-ES"/>
        </w:rPr>
        <w:t xml:space="preserve">o a cabo </w:t>
      </w:r>
      <w:r w:rsidR="00EB4B39" w:rsidRPr="00EB4B39">
        <w:rPr>
          <w:rFonts w:ascii="Times New Roman" w:eastAsia="Times New Roman" w:hAnsi="Times New Roman" w:cs="Times New Roman"/>
          <w:sz w:val="24"/>
          <w:szCs w:val="20"/>
          <w:lang w:eastAsia="es-ES"/>
        </w:rPr>
        <w:t>actuaciones de transformación urbanística que hubieran permitido la viabilidad de dichos lugares.</w:t>
      </w:r>
    </w:p>
    <w:p w:rsidR="0007193F" w:rsidRDefault="001B376F"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3. </w:t>
      </w:r>
      <w:r w:rsidR="00F7554A">
        <w:rPr>
          <w:rFonts w:ascii="Times New Roman" w:eastAsia="Times New Roman" w:hAnsi="Times New Roman" w:cs="Times New Roman"/>
          <w:sz w:val="24"/>
          <w:szCs w:val="20"/>
          <w:lang w:eastAsia="es-ES"/>
        </w:rPr>
        <w:t>En las grandes ciudades concurre una pulsión entre la desertización residencial del centro y su conversión en zonas de ocio</w:t>
      </w:r>
      <w:r w:rsidR="0007193F">
        <w:rPr>
          <w:rFonts w:ascii="Times New Roman" w:eastAsia="Times New Roman" w:hAnsi="Times New Roman" w:cs="Times New Roman"/>
          <w:sz w:val="24"/>
          <w:szCs w:val="20"/>
          <w:lang w:eastAsia="es-ES"/>
        </w:rPr>
        <w:t>.</w:t>
      </w:r>
      <w:r w:rsidR="00F7554A">
        <w:rPr>
          <w:rFonts w:ascii="Times New Roman" w:eastAsia="Times New Roman" w:hAnsi="Times New Roman" w:cs="Times New Roman"/>
          <w:sz w:val="24"/>
          <w:szCs w:val="20"/>
          <w:lang w:eastAsia="es-ES"/>
        </w:rPr>
        <w:t xml:space="preserve"> </w:t>
      </w:r>
      <w:r w:rsidR="0007193F">
        <w:rPr>
          <w:rFonts w:ascii="Times New Roman" w:eastAsia="Times New Roman" w:hAnsi="Times New Roman" w:cs="Times New Roman"/>
          <w:sz w:val="24"/>
          <w:szCs w:val="20"/>
          <w:lang w:eastAsia="es-ES"/>
        </w:rPr>
        <w:t>El problema de fondo es un problema de proporcionalidad, que cuenta con una variada pero dispersa normativa estatal y autonómica.</w:t>
      </w:r>
    </w:p>
    <w:p w:rsidR="0007193F" w:rsidRPr="0007193F" w:rsidRDefault="0007193F" w:rsidP="00EB4B3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 xml:space="preserve">El TS reitera su doctrina al </w:t>
      </w:r>
      <w:r w:rsidRPr="0007193F">
        <w:rPr>
          <w:rFonts w:ascii="Times New Roman" w:eastAsia="Times New Roman" w:hAnsi="Times New Roman" w:cs="Times New Roman"/>
          <w:i/>
          <w:sz w:val="24"/>
          <w:szCs w:val="20"/>
          <w:lang w:eastAsia="es-ES"/>
        </w:rPr>
        <w:t>“confirmar la posibilidad –y la necesidad- de intervención municipal en la materia, en uso y ejercicio de la potestad de planeamiento, que cuenta con un claro respaldo y legitimación democrática, y que, además, se nos presenta como realizada por la Administración más cercana al ciudadano, y articulada con un mayor grado de participación y conocimiento de la concreta realidad local”</w:t>
      </w:r>
    </w:p>
    <w:p w:rsidR="00EB4B39" w:rsidRPr="00EB4B39" w:rsidRDefault="0007193F"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Añade que “</w:t>
      </w:r>
      <w:r w:rsidR="00EB4B39" w:rsidRPr="0007193F">
        <w:rPr>
          <w:rFonts w:ascii="Times New Roman" w:eastAsia="Times New Roman" w:hAnsi="Times New Roman" w:cs="Times New Roman"/>
          <w:i/>
          <w:sz w:val="24"/>
          <w:szCs w:val="20"/>
          <w:lang w:eastAsia="es-ES"/>
        </w:rPr>
        <w:t>Hay que situar las actuales actuaciones urbanísticas en el marco de la regeneración y rehabilitación ciudadana,</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y, en tal proceso, las VUT no pueden incidir negativamente ni alterar las expresadas líneas de actuación urbana,</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salvo que los mecanismos democráticos municipales así lo asumieran; esto es, la normativa ---en principio</w:t>
      </w:r>
      <w:r w:rsidRPr="0007193F">
        <w:rPr>
          <w:rFonts w:ascii="Times New Roman" w:eastAsia="Times New Roman" w:hAnsi="Times New Roman" w:cs="Times New Roman"/>
          <w:i/>
          <w:sz w:val="24"/>
          <w:szCs w:val="20"/>
          <w:lang w:eastAsia="es-ES"/>
        </w:rPr>
        <w:t xml:space="preserve"> l</w:t>
      </w:r>
      <w:r w:rsidR="00EB4B39" w:rsidRPr="0007193F">
        <w:rPr>
          <w:rFonts w:ascii="Times New Roman" w:eastAsia="Times New Roman" w:hAnsi="Times New Roman" w:cs="Times New Roman"/>
          <w:i/>
          <w:sz w:val="24"/>
          <w:szCs w:val="20"/>
          <w:lang w:eastAsia="es-ES"/>
        </w:rPr>
        <w:t>iberalizadora--- que defiende, como es su obligación, la entidad recurrente, no puede alterar el actual proceso</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 xml:space="preserve">urbanístico ---la forma de vivir en la misma---, incidiendo negativamente en su </w:t>
      </w:r>
      <w:r w:rsidRPr="0007193F">
        <w:rPr>
          <w:rFonts w:ascii="Times New Roman" w:eastAsia="Times New Roman" w:hAnsi="Times New Roman" w:cs="Times New Roman"/>
          <w:i/>
          <w:sz w:val="24"/>
          <w:szCs w:val="20"/>
          <w:lang w:eastAsia="es-ES"/>
        </w:rPr>
        <w:t>transformación</w:t>
      </w:r>
      <w:r w:rsidR="00EB4B39" w:rsidRPr="0007193F">
        <w:rPr>
          <w:rFonts w:ascii="Times New Roman" w:eastAsia="Times New Roman" w:hAnsi="Times New Roman" w:cs="Times New Roman"/>
          <w:i/>
          <w:sz w:val="24"/>
          <w:szCs w:val="20"/>
          <w:lang w:eastAsia="es-ES"/>
        </w:rPr>
        <w:t>, pues el mismo</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va dirigido a la configuración de una ciudad compacta, como marco esencial de convivencia. Se trata, pues,</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de buscar un encaje jurídico a este tipo de viviendas ---con un destino dinámico y coyuntural--- en el marco de</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unas actuaciones públicas urbanísticas dirigidas ---en su regeneración--- al desarrollo urbano sostenible de las</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mismas, esto es, como señalara el Informe Brundtland en 1987, dirigido a "satisfacer las necesidades presentes</w:t>
      </w:r>
      <w:r w:rsidRPr="0007193F">
        <w:rPr>
          <w:rFonts w:ascii="Times New Roman" w:eastAsia="Times New Roman" w:hAnsi="Times New Roman" w:cs="Times New Roman"/>
          <w:i/>
          <w:sz w:val="24"/>
          <w:szCs w:val="20"/>
          <w:lang w:eastAsia="es-ES"/>
        </w:rPr>
        <w:t xml:space="preserve"> </w:t>
      </w:r>
      <w:r w:rsidR="00EB4B39" w:rsidRPr="0007193F">
        <w:rPr>
          <w:rFonts w:ascii="Times New Roman" w:eastAsia="Times New Roman" w:hAnsi="Times New Roman" w:cs="Times New Roman"/>
          <w:i/>
          <w:sz w:val="24"/>
          <w:szCs w:val="20"/>
          <w:lang w:eastAsia="es-ES"/>
        </w:rPr>
        <w:t xml:space="preserve">sin comprometer la posibilidad de que las futuras generaciones satisfagan sus propias </w:t>
      </w:r>
      <w:r w:rsidR="00EB4B39" w:rsidRPr="0007193F">
        <w:rPr>
          <w:rFonts w:ascii="Times New Roman" w:eastAsia="Times New Roman" w:hAnsi="Times New Roman" w:cs="Times New Roman"/>
          <w:i/>
          <w:sz w:val="24"/>
          <w:szCs w:val="20"/>
          <w:lang w:eastAsia="es-ES"/>
        </w:rPr>
        <w:lastRenderedPageBreak/>
        <w:t>necesidades</w:t>
      </w:r>
      <w:r w:rsidR="00EB4B39" w:rsidRPr="00EB4B39">
        <w:rPr>
          <w:rFonts w:ascii="Times New Roman" w:eastAsia="Times New Roman" w:hAnsi="Times New Roman" w:cs="Times New Roman"/>
          <w:sz w:val="24"/>
          <w:szCs w:val="20"/>
          <w:lang w:eastAsia="es-ES"/>
        </w:rPr>
        <w:t>".</w:t>
      </w:r>
      <w:r w:rsidR="001B376F">
        <w:rPr>
          <w:rFonts w:ascii="Times New Roman" w:eastAsia="Times New Roman" w:hAnsi="Times New Roman" w:cs="Times New Roman"/>
          <w:sz w:val="24"/>
          <w:szCs w:val="20"/>
          <w:lang w:eastAsia="es-ES"/>
        </w:rPr>
        <w:t xml:space="preserve"> Es en el </w:t>
      </w:r>
      <w:r w:rsidR="00EB4B39" w:rsidRPr="00EB4B39">
        <w:rPr>
          <w:rFonts w:ascii="Times New Roman" w:eastAsia="Times New Roman" w:hAnsi="Times New Roman" w:cs="Times New Roman"/>
          <w:sz w:val="24"/>
          <w:szCs w:val="20"/>
          <w:lang w:eastAsia="es-ES"/>
        </w:rPr>
        <w:t>marco urbanístico actual -de regeneración y transformación de las ciudades- en el que</w:t>
      </w:r>
      <w:r w:rsidR="001B376F">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deben analizarse las políticas municipales sobre las VUT, con la finalidad de comprobar si las</w:t>
      </w:r>
      <w:r w:rsidR="001B376F">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 xml:space="preserve">mismas </w:t>
      </w:r>
      <w:r w:rsidR="001B376F">
        <w:rPr>
          <w:rFonts w:ascii="Times New Roman" w:eastAsia="Times New Roman" w:hAnsi="Times New Roman" w:cs="Times New Roman"/>
          <w:sz w:val="24"/>
          <w:szCs w:val="20"/>
          <w:lang w:eastAsia="es-ES"/>
        </w:rPr>
        <w:t xml:space="preserve">encajan en los principios infringidos a los que alude </w:t>
      </w:r>
      <w:r w:rsidR="00EB4B39" w:rsidRPr="00EB4B39">
        <w:rPr>
          <w:rFonts w:ascii="Times New Roman" w:eastAsia="Times New Roman" w:hAnsi="Times New Roman" w:cs="Times New Roman"/>
          <w:sz w:val="24"/>
          <w:szCs w:val="20"/>
          <w:lang w:eastAsia="es-ES"/>
        </w:rPr>
        <w:t>la CNMC.</w:t>
      </w:r>
    </w:p>
    <w:p w:rsidR="001B376F" w:rsidRDefault="001B376F" w:rsidP="00EB4B3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4. Se analiza en la STS la </w:t>
      </w:r>
      <w:r w:rsidR="00EB4B39" w:rsidRPr="00EB4B39">
        <w:rPr>
          <w:rFonts w:ascii="Times New Roman" w:eastAsia="Times New Roman" w:hAnsi="Times New Roman" w:cs="Times New Roman"/>
          <w:sz w:val="24"/>
          <w:szCs w:val="20"/>
          <w:lang w:eastAsia="es-ES"/>
        </w:rPr>
        <w:t>doctrina establecida en la STJUE de 22</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de septiembre de 2020, referida a una normativa nacional atinente a la ciudad de París que exige</w:t>
      </w:r>
      <w:r>
        <w:rPr>
          <w:rFonts w:ascii="Times New Roman" w:eastAsia="Times New Roman" w:hAnsi="Times New Roman" w:cs="Times New Roman"/>
          <w:sz w:val="24"/>
          <w:szCs w:val="20"/>
          <w:lang w:eastAsia="es-ES"/>
        </w:rPr>
        <w:t xml:space="preserve"> </w:t>
      </w:r>
      <w:r w:rsidR="00EB4B39" w:rsidRPr="00EB4B39">
        <w:rPr>
          <w:rFonts w:ascii="Times New Roman" w:eastAsia="Times New Roman" w:hAnsi="Times New Roman" w:cs="Times New Roman"/>
          <w:sz w:val="24"/>
          <w:szCs w:val="20"/>
          <w:lang w:eastAsia="es-ES"/>
        </w:rPr>
        <w:t>autorización previa para el ejercicio de la actividad de viviendas de uso turístico</w:t>
      </w:r>
      <w:r>
        <w:rPr>
          <w:rFonts w:ascii="Times New Roman" w:eastAsia="Times New Roman" w:hAnsi="Times New Roman" w:cs="Times New Roman"/>
          <w:sz w:val="24"/>
          <w:szCs w:val="20"/>
          <w:lang w:eastAsia="es-ES"/>
        </w:rPr>
        <w:t>, que resulta de gran interés doctrinal.</w:t>
      </w:r>
    </w:p>
    <w:p w:rsidR="002D237C" w:rsidRDefault="001B376F"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Tratados todos estos aspectos, el fundamento sexto de la STS aplica la doctrina anterior al caso concreto</w:t>
      </w:r>
      <w:r w:rsidR="009A13A3">
        <w:rPr>
          <w:rFonts w:ascii="Times New Roman" w:eastAsia="Times New Roman" w:hAnsi="Times New Roman" w:cs="Times New Roman"/>
          <w:sz w:val="24"/>
          <w:szCs w:val="20"/>
          <w:lang w:eastAsia="es-ES"/>
        </w:rPr>
        <w:t xml:space="preserve"> y analiza e</w:t>
      </w:r>
      <w:r w:rsidRPr="009A13A3">
        <w:rPr>
          <w:rFonts w:ascii="Times New Roman" w:eastAsia="Times New Roman" w:hAnsi="Times New Roman" w:cs="Times New Roman"/>
          <w:sz w:val="24"/>
          <w:szCs w:val="20"/>
          <w:lang w:eastAsia="es-ES"/>
        </w:rPr>
        <w:t>n qué medida los</w:t>
      </w:r>
      <w:r w:rsidR="002D237C" w:rsidRPr="009A13A3">
        <w:rPr>
          <w:rFonts w:ascii="Times New Roman" w:eastAsia="Times New Roman" w:hAnsi="Times New Roman" w:cs="Times New Roman"/>
          <w:sz w:val="24"/>
          <w:szCs w:val="20"/>
          <w:lang w:eastAsia="es-ES"/>
        </w:rPr>
        <w:t xml:space="preserve"> </w:t>
      </w:r>
      <w:r w:rsidRPr="009A13A3">
        <w:rPr>
          <w:rFonts w:ascii="Times New Roman" w:eastAsia="Times New Roman" w:hAnsi="Times New Roman" w:cs="Times New Roman"/>
          <w:sz w:val="24"/>
          <w:szCs w:val="20"/>
          <w:lang w:eastAsia="es-ES"/>
        </w:rPr>
        <w:t>instrumentos de planeamiento urbanístico pueden regular las condiciones de acceso y ejercicio de una</w:t>
      </w:r>
      <w:r w:rsidR="002D237C" w:rsidRPr="009A13A3">
        <w:rPr>
          <w:rFonts w:ascii="Times New Roman" w:eastAsia="Times New Roman" w:hAnsi="Times New Roman" w:cs="Times New Roman"/>
          <w:sz w:val="24"/>
          <w:szCs w:val="20"/>
          <w:lang w:eastAsia="es-ES"/>
        </w:rPr>
        <w:t xml:space="preserve"> </w:t>
      </w:r>
      <w:r w:rsidRPr="009A13A3">
        <w:rPr>
          <w:rFonts w:ascii="Times New Roman" w:eastAsia="Times New Roman" w:hAnsi="Times New Roman" w:cs="Times New Roman"/>
          <w:sz w:val="24"/>
          <w:szCs w:val="20"/>
          <w:lang w:eastAsia="es-ES"/>
        </w:rPr>
        <w:t>actividad e, incluso, limitar en un concreto ámbito territorial el ejercicio de actividades previamente legalizadas,</w:t>
      </w:r>
      <w:r w:rsidR="002D237C" w:rsidRPr="009A13A3">
        <w:rPr>
          <w:rFonts w:ascii="Times New Roman" w:eastAsia="Times New Roman" w:hAnsi="Times New Roman" w:cs="Times New Roman"/>
          <w:sz w:val="24"/>
          <w:szCs w:val="20"/>
          <w:lang w:eastAsia="es-ES"/>
        </w:rPr>
        <w:t xml:space="preserve"> </w:t>
      </w:r>
      <w:r w:rsidRPr="009A13A3">
        <w:rPr>
          <w:rFonts w:ascii="Times New Roman" w:eastAsia="Times New Roman" w:hAnsi="Times New Roman" w:cs="Times New Roman"/>
          <w:sz w:val="24"/>
          <w:szCs w:val="20"/>
          <w:lang w:eastAsia="es-ES"/>
        </w:rPr>
        <w:t>referidas concretamente a las viviendas de uso turístico, y la incidencia de esa regulación en el ámbito de la</w:t>
      </w:r>
      <w:r w:rsidR="002D237C" w:rsidRPr="009A13A3">
        <w:rPr>
          <w:rFonts w:ascii="Times New Roman" w:eastAsia="Times New Roman" w:hAnsi="Times New Roman" w:cs="Times New Roman"/>
          <w:sz w:val="24"/>
          <w:szCs w:val="20"/>
          <w:lang w:eastAsia="es-ES"/>
        </w:rPr>
        <w:t xml:space="preserve"> </w:t>
      </w:r>
      <w:r w:rsidRPr="009A13A3">
        <w:rPr>
          <w:rFonts w:ascii="Times New Roman" w:eastAsia="Times New Roman" w:hAnsi="Times New Roman" w:cs="Times New Roman"/>
          <w:sz w:val="24"/>
          <w:szCs w:val="20"/>
          <w:lang w:eastAsia="es-ES"/>
        </w:rPr>
        <w:t>libre prestación de servicios</w:t>
      </w:r>
      <w:r w:rsidR="002D237C">
        <w:rPr>
          <w:rFonts w:ascii="Times New Roman" w:eastAsia="Times New Roman" w:hAnsi="Times New Roman" w:cs="Times New Roman"/>
          <w:sz w:val="24"/>
          <w:szCs w:val="20"/>
          <w:lang w:eastAsia="es-ES"/>
        </w:rPr>
        <w:t xml:space="preserve">. </w:t>
      </w:r>
    </w:p>
    <w:p w:rsidR="001B376F" w:rsidRPr="001B376F" w:rsidRDefault="002D237C"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Para responder a esta pregunta el TS analiza el plan impugnado. Es un </w:t>
      </w:r>
      <w:r w:rsidR="001B376F" w:rsidRPr="001B376F">
        <w:rPr>
          <w:rFonts w:ascii="Times New Roman" w:eastAsia="Times New Roman" w:hAnsi="Times New Roman" w:cs="Times New Roman"/>
          <w:sz w:val="24"/>
          <w:szCs w:val="20"/>
          <w:lang w:eastAsia="es-ES"/>
        </w:rPr>
        <w:t>Plan especial urbanístico (PEU) para la regulación de las viviendas</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de uso turístico (VUT), un plan especial de usos de los previstos en el art. 67 de la Ley 22/1998,</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de 30 de diciembre, de la Carta Municipal de Barcelona, que "</w:t>
      </w:r>
      <w:r w:rsidR="001B376F" w:rsidRPr="002D237C">
        <w:rPr>
          <w:rFonts w:ascii="Times New Roman" w:eastAsia="Times New Roman" w:hAnsi="Times New Roman" w:cs="Times New Roman"/>
          <w:i/>
          <w:sz w:val="24"/>
          <w:szCs w:val="20"/>
          <w:lang w:eastAsia="es-ES"/>
        </w:rPr>
        <w:t>tienen como objetivo ordenar la incidencia y</w:t>
      </w:r>
      <w:r w:rsidRPr="002D237C">
        <w:rPr>
          <w:rFonts w:ascii="Times New Roman" w:eastAsia="Times New Roman" w:hAnsi="Times New Roman" w:cs="Times New Roman"/>
          <w:i/>
          <w:sz w:val="24"/>
          <w:szCs w:val="20"/>
          <w:lang w:eastAsia="es-ES"/>
        </w:rPr>
        <w:t xml:space="preserve"> </w:t>
      </w:r>
      <w:r w:rsidR="001B376F" w:rsidRPr="002D237C">
        <w:rPr>
          <w:rFonts w:ascii="Times New Roman" w:eastAsia="Times New Roman" w:hAnsi="Times New Roman" w:cs="Times New Roman"/>
          <w:i/>
          <w:sz w:val="24"/>
          <w:szCs w:val="20"/>
          <w:lang w:eastAsia="es-ES"/>
        </w:rPr>
        <w:t>los efectos urbanísticos, medioambientales y sobre el patrimonio urbano que las actividades producen en el</w:t>
      </w:r>
      <w:r w:rsidRPr="002D237C">
        <w:rPr>
          <w:rFonts w:ascii="Times New Roman" w:eastAsia="Times New Roman" w:hAnsi="Times New Roman" w:cs="Times New Roman"/>
          <w:i/>
          <w:sz w:val="24"/>
          <w:szCs w:val="20"/>
          <w:lang w:eastAsia="es-ES"/>
        </w:rPr>
        <w:t xml:space="preserve"> </w:t>
      </w:r>
      <w:r w:rsidR="001B376F" w:rsidRPr="002D237C">
        <w:rPr>
          <w:rFonts w:ascii="Times New Roman" w:eastAsia="Times New Roman" w:hAnsi="Times New Roman" w:cs="Times New Roman"/>
          <w:i/>
          <w:sz w:val="24"/>
          <w:szCs w:val="20"/>
          <w:lang w:eastAsia="es-ES"/>
        </w:rPr>
        <w:t>territorio, mediante la regulación de su intensidad y las condiciones físicas de su desarrollo en función de las</w:t>
      </w:r>
      <w:r w:rsidRPr="002D237C">
        <w:rPr>
          <w:rFonts w:ascii="Times New Roman" w:eastAsia="Times New Roman" w:hAnsi="Times New Roman" w:cs="Times New Roman"/>
          <w:i/>
          <w:sz w:val="24"/>
          <w:szCs w:val="20"/>
          <w:lang w:eastAsia="es-ES"/>
        </w:rPr>
        <w:t xml:space="preserve"> </w:t>
      </w:r>
      <w:r w:rsidR="001B376F" w:rsidRPr="002D237C">
        <w:rPr>
          <w:rFonts w:ascii="Times New Roman" w:eastAsia="Times New Roman" w:hAnsi="Times New Roman" w:cs="Times New Roman"/>
          <w:i/>
          <w:sz w:val="24"/>
          <w:szCs w:val="20"/>
          <w:lang w:eastAsia="es-ES"/>
        </w:rPr>
        <w:t>distancias, el tipo de vía ur</w:t>
      </w:r>
      <w:r>
        <w:rPr>
          <w:rFonts w:ascii="Times New Roman" w:eastAsia="Times New Roman" w:hAnsi="Times New Roman" w:cs="Times New Roman"/>
          <w:i/>
          <w:sz w:val="24"/>
          <w:szCs w:val="20"/>
          <w:lang w:eastAsia="es-ES"/>
        </w:rPr>
        <w:t>bana y circunstancias análogas"</w:t>
      </w:r>
      <w:r>
        <w:rPr>
          <w:rFonts w:ascii="Times New Roman" w:eastAsia="Times New Roman" w:hAnsi="Times New Roman" w:cs="Times New Roman"/>
          <w:sz w:val="24"/>
          <w:szCs w:val="20"/>
          <w:lang w:eastAsia="es-ES"/>
        </w:rPr>
        <w:t xml:space="preserve">, que, según se deduce de la Memoria, </w:t>
      </w:r>
      <w:r w:rsidR="001B376F" w:rsidRPr="001B376F">
        <w:rPr>
          <w:rFonts w:ascii="Times New Roman" w:eastAsia="Times New Roman" w:hAnsi="Times New Roman" w:cs="Times New Roman"/>
          <w:sz w:val="24"/>
          <w:szCs w:val="20"/>
          <w:lang w:eastAsia="es-ES"/>
        </w:rPr>
        <w:t>pretende ordenar y regular urbanísticamente la ubicación</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territorial en el municipio de este tipo de viviendas turísticas para tratar de alcan</w:t>
      </w:r>
      <w:r>
        <w:rPr>
          <w:rFonts w:ascii="Times New Roman" w:eastAsia="Times New Roman" w:hAnsi="Times New Roman" w:cs="Times New Roman"/>
          <w:sz w:val="24"/>
          <w:szCs w:val="20"/>
          <w:lang w:eastAsia="es-ES"/>
        </w:rPr>
        <w:t xml:space="preserve">zar un equilibrio en el entorno </w:t>
      </w:r>
      <w:r w:rsidR="001B376F" w:rsidRPr="001B376F">
        <w:rPr>
          <w:rFonts w:ascii="Times New Roman" w:eastAsia="Times New Roman" w:hAnsi="Times New Roman" w:cs="Times New Roman"/>
          <w:sz w:val="24"/>
          <w:szCs w:val="20"/>
          <w:lang w:eastAsia="es-ES"/>
        </w:rPr>
        <w:t>urbano entre el ejercicio de dicha actividad económica y la garantía de una ciudad sostenible, especialmente</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para sus residentes habituales, siendo sus objetivos, la contención territorial de las mismas en las áreas de</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la ciudad con fuerte presión turística, la disminución de los problemas de convivencia con los residentes</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habituales, la reducción del impacto de dicha actividad en el precio de la vivienda en compra y en alquiler para</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los residentes habituales y la lucha contra el problema de la "gentrificación" que genera la expulsión de los</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residentes habituales de los barrios.</w:t>
      </w:r>
    </w:p>
    <w:p w:rsidR="00587A9B" w:rsidRDefault="002D237C"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lastRenderedPageBreak/>
        <w:t>A</w:t>
      </w:r>
      <w:r w:rsidR="001B376F" w:rsidRPr="001B376F">
        <w:rPr>
          <w:rFonts w:ascii="Times New Roman" w:eastAsia="Times New Roman" w:hAnsi="Times New Roman" w:cs="Times New Roman"/>
          <w:sz w:val="24"/>
          <w:szCs w:val="20"/>
          <w:lang w:eastAsia="es-ES"/>
        </w:rPr>
        <w:t>naliza</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 xml:space="preserve">la evolución del aumento progresivo de </w:t>
      </w:r>
      <w:r>
        <w:rPr>
          <w:rFonts w:ascii="Times New Roman" w:eastAsia="Times New Roman" w:hAnsi="Times New Roman" w:cs="Times New Roman"/>
          <w:sz w:val="24"/>
          <w:szCs w:val="20"/>
          <w:lang w:eastAsia="es-ES"/>
        </w:rPr>
        <w:t xml:space="preserve">estas viviendas. Detalla </w:t>
      </w:r>
      <w:r w:rsidR="001B376F" w:rsidRPr="001B376F">
        <w:rPr>
          <w:rFonts w:ascii="Times New Roman" w:eastAsia="Times New Roman" w:hAnsi="Times New Roman" w:cs="Times New Roman"/>
          <w:sz w:val="24"/>
          <w:szCs w:val="20"/>
          <w:lang w:eastAsia="es-ES"/>
        </w:rPr>
        <w:t xml:space="preserve">la incidencia de </w:t>
      </w:r>
      <w:r w:rsidR="00587A9B">
        <w:rPr>
          <w:rFonts w:ascii="Times New Roman" w:eastAsia="Times New Roman" w:hAnsi="Times New Roman" w:cs="Times New Roman"/>
          <w:sz w:val="24"/>
          <w:szCs w:val="20"/>
          <w:lang w:eastAsia="es-ES"/>
        </w:rPr>
        <w:t>determinados</w:t>
      </w:r>
      <w:r w:rsidR="001B376F" w:rsidRPr="001B376F">
        <w:rPr>
          <w:rFonts w:ascii="Times New Roman" w:eastAsia="Times New Roman" w:hAnsi="Times New Roman" w:cs="Times New Roman"/>
          <w:sz w:val="24"/>
          <w:szCs w:val="20"/>
          <w:lang w:eastAsia="es-ES"/>
        </w:rPr>
        <w:t xml:space="preserve"> factores en la progresiva alteración de la vida de los barrios y en la</w:t>
      </w:r>
      <w:r w:rsidR="00587A9B">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generación del fenómeno antes</w:t>
      </w:r>
      <w:r w:rsidR="00587A9B">
        <w:rPr>
          <w:rFonts w:ascii="Times New Roman" w:eastAsia="Times New Roman" w:hAnsi="Times New Roman" w:cs="Times New Roman"/>
          <w:sz w:val="24"/>
          <w:szCs w:val="20"/>
          <w:lang w:eastAsia="es-ES"/>
        </w:rPr>
        <w:t xml:space="preserve"> aludido de la "gentrificación". Para corregir los problemas, el plan prevé una serie de medi</w:t>
      </w:r>
      <w:r w:rsidR="001B376F" w:rsidRPr="001B376F">
        <w:rPr>
          <w:rFonts w:ascii="Times New Roman" w:eastAsia="Times New Roman" w:hAnsi="Times New Roman" w:cs="Times New Roman"/>
          <w:sz w:val="24"/>
          <w:szCs w:val="20"/>
          <w:lang w:eastAsia="es-ES"/>
        </w:rPr>
        <w:t>das que permitan el control territorial de la implantación de nuevas VUT</w:t>
      </w:r>
      <w:r w:rsidR="00587A9B">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mediante la utilización de diversos parámetro</w:t>
      </w:r>
      <w:r w:rsidR="00587A9B">
        <w:rPr>
          <w:rFonts w:ascii="Times New Roman" w:eastAsia="Times New Roman" w:hAnsi="Times New Roman" w:cs="Times New Roman"/>
          <w:sz w:val="24"/>
          <w:szCs w:val="20"/>
          <w:lang w:eastAsia="es-ES"/>
        </w:rPr>
        <w:t xml:space="preserve">s de densidad máxima, </w:t>
      </w:r>
      <w:r w:rsidR="001B376F" w:rsidRPr="001B376F">
        <w:rPr>
          <w:rFonts w:ascii="Times New Roman" w:eastAsia="Times New Roman" w:hAnsi="Times New Roman" w:cs="Times New Roman"/>
          <w:sz w:val="24"/>
          <w:szCs w:val="20"/>
          <w:lang w:eastAsia="es-ES"/>
        </w:rPr>
        <w:t>efectuando una distribución por zonas o barrios en la que, además de aquellos</w:t>
      </w:r>
      <w:r w:rsidR="00587A9B">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parámetros y del número y distribución de VUT existentes en los distintos barrios, manzanas y edificios, se</w:t>
      </w:r>
      <w:r w:rsidR="00587A9B">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tienen en cuenta factores tales como la presión turística en las diversas zonas, las características urbanísticas</w:t>
      </w:r>
      <w:r w:rsidR="00587A9B">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 xml:space="preserve">del tejido urbano que acoge dicha afluencia o la tipología arquitectónica de los edificios. </w:t>
      </w:r>
    </w:p>
    <w:p w:rsidR="001B376F" w:rsidRPr="001B376F" w:rsidRDefault="001B376F"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B376F">
        <w:rPr>
          <w:rFonts w:ascii="Times New Roman" w:eastAsia="Times New Roman" w:hAnsi="Times New Roman" w:cs="Times New Roman"/>
          <w:sz w:val="24"/>
          <w:szCs w:val="20"/>
          <w:lang w:eastAsia="es-ES"/>
        </w:rPr>
        <w:t>A partir de estos elementos, establece una graduación de limitaciones para la implantación de las VUT entre estas diversas zonas</w:t>
      </w:r>
      <w:r w:rsidR="00587A9B">
        <w:rPr>
          <w:rFonts w:ascii="Times New Roman" w:eastAsia="Times New Roman" w:hAnsi="Times New Roman" w:cs="Times New Roman"/>
          <w:sz w:val="24"/>
          <w:szCs w:val="20"/>
          <w:lang w:eastAsia="es-ES"/>
        </w:rPr>
        <w:t xml:space="preserve">, que para el caso de </w:t>
      </w:r>
      <w:r w:rsidRPr="001B376F">
        <w:rPr>
          <w:rFonts w:ascii="Times New Roman" w:eastAsia="Times New Roman" w:hAnsi="Times New Roman" w:cs="Times New Roman"/>
          <w:sz w:val="24"/>
          <w:szCs w:val="20"/>
          <w:lang w:eastAsia="es-ES"/>
        </w:rPr>
        <w:t>Ciutat Vella, el plan impugnado exige que las VUT se ubiquen en edificios</w:t>
      </w:r>
      <w:r w:rsidR="00587A9B">
        <w:rPr>
          <w:rFonts w:ascii="Times New Roman" w:eastAsia="Times New Roman" w:hAnsi="Times New Roman" w:cs="Times New Roman"/>
          <w:sz w:val="24"/>
          <w:szCs w:val="20"/>
          <w:lang w:eastAsia="es-ES"/>
        </w:rPr>
        <w:t xml:space="preserve"> enteros </w:t>
      </w:r>
      <w:r w:rsidRPr="001B376F">
        <w:rPr>
          <w:rFonts w:ascii="Times New Roman" w:eastAsia="Times New Roman" w:hAnsi="Times New Roman" w:cs="Times New Roman"/>
          <w:sz w:val="24"/>
          <w:szCs w:val="20"/>
          <w:lang w:eastAsia="es-ES"/>
        </w:rPr>
        <w:t>y se establece un número máximo de VUT coincidente</w:t>
      </w:r>
      <w:r w:rsidR="00587A9B">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con la totalidad de las VUT habilitadas existentes en el momento de la aprobación definitiva del plan, de</w:t>
      </w:r>
      <w:r w:rsidR="00587A9B">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forma que para que pueda instalarse una nueva es necesario que se produzca la baja de alguna de estas VUT</w:t>
      </w:r>
      <w:r w:rsidR="00587A9B">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habilitadas existentes, estableciéndose para ello los mecanismos que permitan a la Administración tener este</w:t>
      </w:r>
      <w:r w:rsidR="00587A9B">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dato debidamente actualizado</w:t>
      </w:r>
      <w:r w:rsidR="00225DED">
        <w:rPr>
          <w:rFonts w:ascii="Times New Roman" w:eastAsia="Times New Roman" w:hAnsi="Times New Roman" w:cs="Times New Roman"/>
          <w:sz w:val="24"/>
          <w:szCs w:val="20"/>
          <w:lang w:eastAsia="es-ES"/>
        </w:rPr>
        <w:t xml:space="preserve">; motivo este último con el que discrepan los </w:t>
      </w:r>
      <w:r w:rsidR="00587A9B">
        <w:rPr>
          <w:rFonts w:ascii="Times New Roman" w:eastAsia="Times New Roman" w:hAnsi="Times New Roman" w:cs="Times New Roman"/>
          <w:sz w:val="24"/>
          <w:szCs w:val="20"/>
          <w:lang w:eastAsia="es-ES"/>
        </w:rPr>
        <w:t>recurrentes</w:t>
      </w:r>
      <w:r w:rsidR="00225DED">
        <w:rPr>
          <w:rFonts w:ascii="Times New Roman" w:eastAsia="Times New Roman" w:hAnsi="Times New Roman" w:cs="Times New Roman"/>
          <w:sz w:val="24"/>
          <w:szCs w:val="20"/>
          <w:lang w:eastAsia="es-ES"/>
        </w:rPr>
        <w:t>, por entender que no se ajusta</w:t>
      </w:r>
      <w:r w:rsidRPr="001B376F">
        <w:rPr>
          <w:rFonts w:ascii="Times New Roman" w:eastAsia="Times New Roman" w:hAnsi="Times New Roman" w:cs="Times New Roman"/>
          <w:sz w:val="24"/>
          <w:szCs w:val="20"/>
          <w:lang w:eastAsia="es-ES"/>
        </w:rPr>
        <w:t xml:space="preserve"> al régimen de autorización que con</w:t>
      </w:r>
      <w:r w:rsidR="00225DED">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carácter excepcional se prevé en la Directiva de servicios porque no se basan en consideraciones urbanísticas</w:t>
      </w:r>
      <w:r w:rsidR="00225DED">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y son condiciones discriminatorias y desproporcionadas, al impedir prácticamente que nuevos operadores</w:t>
      </w:r>
      <w:r w:rsidR="00225DED">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puedan acceder al ejercicio de la actividad.</w:t>
      </w:r>
    </w:p>
    <w:p w:rsidR="00007ECC" w:rsidRDefault="00007ECC"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TS se hace eco de las manifestaciones de la sentencia de instancia, de las que podemos extraer:</w:t>
      </w:r>
    </w:p>
    <w:p w:rsidR="001B376F" w:rsidRPr="001B376F" w:rsidRDefault="001B376F"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B376F">
        <w:rPr>
          <w:rFonts w:ascii="Times New Roman" w:eastAsia="Times New Roman" w:hAnsi="Times New Roman" w:cs="Times New Roman"/>
          <w:sz w:val="24"/>
          <w:szCs w:val="20"/>
          <w:lang w:eastAsia="es-ES"/>
        </w:rPr>
        <w:t xml:space="preserve">1. </w:t>
      </w:r>
      <w:r w:rsidR="00007ECC">
        <w:rPr>
          <w:rFonts w:ascii="Times New Roman" w:eastAsia="Times New Roman" w:hAnsi="Times New Roman" w:cs="Times New Roman"/>
          <w:sz w:val="24"/>
          <w:szCs w:val="20"/>
          <w:lang w:eastAsia="es-ES"/>
        </w:rPr>
        <w:t>L</w:t>
      </w:r>
      <w:r w:rsidRPr="001B376F">
        <w:rPr>
          <w:rFonts w:ascii="Times New Roman" w:eastAsia="Times New Roman" w:hAnsi="Times New Roman" w:cs="Times New Roman"/>
          <w:sz w:val="24"/>
          <w:szCs w:val="20"/>
          <w:lang w:eastAsia="es-ES"/>
        </w:rPr>
        <w:t>as previsiones contenidas en el plan estarían, en principio, excluidas del ámbito de la</w:t>
      </w:r>
      <w:r w:rsidR="00007ECC">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Directiva porque la regulación de las VUT se efectúa más desde el ámbito del urbanismo</w:t>
      </w:r>
      <w:r w:rsidR="00007ECC">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que desde el ámbito del uso o servicio considerado en su estricto sentido</w:t>
      </w:r>
      <w:r w:rsidR="00007ECC">
        <w:rPr>
          <w:rFonts w:ascii="Times New Roman" w:eastAsia="Times New Roman" w:hAnsi="Times New Roman" w:cs="Times New Roman"/>
          <w:sz w:val="24"/>
          <w:szCs w:val="20"/>
          <w:lang w:eastAsia="es-ES"/>
        </w:rPr>
        <w:t>, porque “</w:t>
      </w:r>
      <w:r w:rsidR="00007ECC" w:rsidRPr="00007ECC">
        <w:rPr>
          <w:rFonts w:ascii="Times New Roman" w:eastAsia="Times New Roman" w:hAnsi="Times New Roman" w:cs="Times New Roman"/>
          <w:i/>
          <w:sz w:val="24"/>
          <w:szCs w:val="20"/>
          <w:lang w:eastAsia="es-ES"/>
        </w:rPr>
        <w:t>n</w:t>
      </w:r>
      <w:r w:rsidRPr="00007ECC">
        <w:rPr>
          <w:rFonts w:ascii="Times New Roman" w:eastAsia="Times New Roman" w:hAnsi="Times New Roman" w:cs="Times New Roman"/>
          <w:i/>
          <w:sz w:val="24"/>
          <w:szCs w:val="20"/>
          <w:lang w:eastAsia="es-ES"/>
        </w:rPr>
        <w:t>o regula el ordinario funcionamiento de estos ni su autorización administrativa, sino ciertas condiciones</w:t>
      </w:r>
      <w:r w:rsidR="00007ECC" w:rsidRPr="00007ECC">
        <w:rPr>
          <w:rFonts w:ascii="Times New Roman" w:eastAsia="Times New Roman" w:hAnsi="Times New Roman" w:cs="Times New Roman"/>
          <w:i/>
          <w:sz w:val="24"/>
          <w:szCs w:val="20"/>
          <w:lang w:eastAsia="es-ES"/>
        </w:rPr>
        <w:t xml:space="preserve"> </w:t>
      </w:r>
      <w:r w:rsidRPr="00007ECC">
        <w:rPr>
          <w:rFonts w:ascii="Times New Roman" w:eastAsia="Times New Roman" w:hAnsi="Times New Roman" w:cs="Times New Roman"/>
          <w:i/>
          <w:sz w:val="24"/>
          <w:szCs w:val="20"/>
          <w:lang w:eastAsia="es-ES"/>
        </w:rPr>
        <w:t>previas o colaterales a su establecimiento urbanístico, tratando de evitar su excesiva y urbanísticamente</w:t>
      </w:r>
      <w:r w:rsidR="00007ECC" w:rsidRPr="00007ECC">
        <w:rPr>
          <w:rFonts w:ascii="Times New Roman" w:eastAsia="Times New Roman" w:hAnsi="Times New Roman" w:cs="Times New Roman"/>
          <w:i/>
          <w:sz w:val="24"/>
          <w:szCs w:val="20"/>
          <w:lang w:eastAsia="es-ES"/>
        </w:rPr>
        <w:t xml:space="preserve"> </w:t>
      </w:r>
      <w:r w:rsidRPr="00007ECC">
        <w:rPr>
          <w:rFonts w:ascii="Times New Roman" w:eastAsia="Times New Roman" w:hAnsi="Times New Roman" w:cs="Times New Roman"/>
          <w:i/>
          <w:sz w:val="24"/>
          <w:szCs w:val="20"/>
          <w:lang w:eastAsia="es-ES"/>
        </w:rPr>
        <w:t>nociva proliferación, del mismo modo que el planeamiento regula otros elementos por la vía de la fijación de</w:t>
      </w:r>
      <w:r w:rsidR="00007ECC" w:rsidRPr="00007ECC">
        <w:rPr>
          <w:rFonts w:ascii="Times New Roman" w:eastAsia="Times New Roman" w:hAnsi="Times New Roman" w:cs="Times New Roman"/>
          <w:i/>
          <w:sz w:val="24"/>
          <w:szCs w:val="20"/>
          <w:lang w:eastAsia="es-ES"/>
        </w:rPr>
        <w:t xml:space="preserve"> </w:t>
      </w:r>
      <w:r w:rsidRPr="00007ECC">
        <w:rPr>
          <w:rFonts w:ascii="Times New Roman" w:eastAsia="Times New Roman" w:hAnsi="Times New Roman" w:cs="Times New Roman"/>
          <w:i/>
          <w:sz w:val="24"/>
          <w:szCs w:val="20"/>
          <w:lang w:eastAsia="es-ES"/>
        </w:rPr>
        <w:t>estándares u otros procedimientos</w:t>
      </w:r>
      <w:r w:rsidRPr="001B376F">
        <w:rPr>
          <w:rFonts w:ascii="Times New Roman" w:eastAsia="Times New Roman" w:hAnsi="Times New Roman" w:cs="Times New Roman"/>
          <w:sz w:val="24"/>
          <w:szCs w:val="20"/>
          <w:lang w:eastAsia="es-ES"/>
        </w:rPr>
        <w:t>.</w:t>
      </w:r>
      <w:r w:rsidR="00007ECC">
        <w:rPr>
          <w:rFonts w:ascii="Times New Roman" w:eastAsia="Times New Roman" w:hAnsi="Times New Roman" w:cs="Times New Roman"/>
          <w:sz w:val="24"/>
          <w:szCs w:val="20"/>
          <w:lang w:eastAsia="es-ES"/>
        </w:rPr>
        <w:t>”</w:t>
      </w:r>
    </w:p>
    <w:p w:rsidR="009A13A3" w:rsidRDefault="001B376F"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1B376F">
        <w:rPr>
          <w:rFonts w:ascii="Times New Roman" w:eastAsia="Times New Roman" w:hAnsi="Times New Roman" w:cs="Times New Roman"/>
          <w:sz w:val="24"/>
          <w:szCs w:val="20"/>
          <w:lang w:eastAsia="es-ES"/>
        </w:rPr>
        <w:lastRenderedPageBreak/>
        <w:t xml:space="preserve">2. </w:t>
      </w:r>
      <w:r w:rsidR="00007ECC">
        <w:rPr>
          <w:rFonts w:ascii="Times New Roman" w:eastAsia="Times New Roman" w:hAnsi="Times New Roman" w:cs="Times New Roman"/>
          <w:sz w:val="24"/>
          <w:szCs w:val="20"/>
          <w:lang w:eastAsia="es-ES"/>
        </w:rPr>
        <w:t xml:space="preserve">Aún en el caso de entender </w:t>
      </w:r>
      <w:r w:rsidRPr="001B376F">
        <w:rPr>
          <w:rFonts w:ascii="Times New Roman" w:eastAsia="Times New Roman" w:hAnsi="Times New Roman" w:cs="Times New Roman"/>
          <w:sz w:val="24"/>
          <w:szCs w:val="20"/>
          <w:lang w:eastAsia="es-ES"/>
        </w:rPr>
        <w:t>aplica</w:t>
      </w:r>
      <w:r w:rsidR="00007ECC">
        <w:rPr>
          <w:rFonts w:ascii="Times New Roman" w:eastAsia="Times New Roman" w:hAnsi="Times New Roman" w:cs="Times New Roman"/>
          <w:sz w:val="24"/>
          <w:szCs w:val="20"/>
          <w:lang w:eastAsia="es-ES"/>
        </w:rPr>
        <w:t>ble</w:t>
      </w:r>
      <w:r w:rsidRPr="001B376F">
        <w:rPr>
          <w:rFonts w:ascii="Times New Roman" w:eastAsia="Times New Roman" w:hAnsi="Times New Roman" w:cs="Times New Roman"/>
          <w:sz w:val="24"/>
          <w:szCs w:val="20"/>
          <w:lang w:eastAsia="es-ES"/>
        </w:rPr>
        <w:t xml:space="preserve"> el régimen establecido en la Directiva</w:t>
      </w:r>
      <w:r w:rsidR="00007ECC">
        <w:rPr>
          <w:rFonts w:ascii="Times New Roman" w:eastAsia="Times New Roman" w:hAnsi="Times New Roman" w:cs="Times New Roman"/>
          <w:sz w:val="24"/>
          <w:szCs w:val="20"/>
          <w:lang w:eastAsia="es-ES"/>
        </w:rPr>
        <w:t>, las medidas previstas en el plan estarían</w:t>
      </w:r>
      <w:r w:rsidRPr="001B376F">
        <w:rPr>
          <w:rFonts w:ascii="Times New Roman" w:eastAsia="Times New Roman" w:hAnsi="Times New Roman" w:cs="Times New Roman"/>
          <w:sz w:val="24"/>
          <w:szCs w:val="20"/>
          <w:lang w:eastAsia="es-ES"/>
        </w:rPr>
        <w:t xml:space="preserve"> englobadas bajo las llamadas "</w:t>
      </w:r>
      <w:r w:rsidRPr="009A13A3">
        <w:rPr>
          <w:rFonts w:ascii="Times New Roman" w:eastAsia="Times New Roman" w:hAnsi="Times New Roman" w:cs="Times New Roman"/>
          <w:i/>
          <w:sz w:val="24"/>
          <w:szCs w:val="20"/>
          <w:u w:val="single"/>
          <w:lang w:eastAsia="es-ES"/>
        </w:rPr>
        <w:t>razones imperiosas de interés general</w:t>
      </w:r>
      <w:r w:rsidRPr="001B376F">
        <w:rPr>
          <w:rFonts w:ascii="Times New Roman" w:eastAsia="Times New Roman" w:hAnsi="Times New Roman" w:cs="Times New Roman"/>
          <w:sz w:val="24"/>
          <w:szCs w:val="20"/>
          <w:lang w:eastAsia="es-ES"/>
        </w:rPr>
        <w:t>"</w:t>
      </w:r>
      <w:r w:rsidR="00007ECC">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a que se refiere la directiva, que justificarían la aplicación de regímenes de autorización y otras restricciones en</w:t>
      </w:r>
      <w:r w:rsidR="00007ECC">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materias como la protección del entorno urbano, política social, orden público o seguridad pública y protección</w:t>
      </w:r>
      <w:r w:rsidR="00007ECC">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 xml:space="preserve">del medio ambiente y el entorno urbanos. </w:t>
      </w:r>
      <w:r w:rsidR="00007ECC">
        <w:rPr>
          <w:rFonts w:ascii="Times New Roman" w:eastAsia="Times New Roman" w:hAnsi="Times New Roman" w:cs="Times New Roman"/>
          <w:sz w:val="24"/>
          <w:szCs w:val="20"/>
          <w:lang w:eastAsia="es-ES"/>
        </w:rPr>
        <w:t xml:space="preserve">Concluye que estamos en </w:t>
      </w:r>
      <w:r w:rsidRPr="001B376F">
        <w:rPr>
          <w:rFonts w:ascii="Times New Roman" w:eastAsia="Times New Roman" w:hAnsi="Times New Roman" w:cs="Times New Roman"/>
          <w:sz w:val="24"/>
          <w:szCs w:val="20"/>
          <w:lang w:eastAsia="es-ES"/>
        </w:rPr>
        <w:t xml:space="preserve">presencia de "razones imperiosas de interés general", </w:t>
      </w:r>
      <w:r w:rsidR="00007ECC">
        <w:rPr>
          <w:rFonts w:ascii="Times New Roman" w:eastAsia="Times New Roman" w:hAnsi="Times New Roman" w:cs="Times New Roman"/>
          <w:sz w:val="24"/>
          <w:szCs w:val="20"/>
          <w:lang w:eastAsia="es-ES"/>
        </w:rPr>
        <w:t>“</w:t>
      </w:r>
      <w:r w:rsidRPr="00007ECC">
        <w:rPr>
          <w:rFonts w:ascii="Times New Roman" w:eastAsia="Times New Roman" w:hAnsi="Times New Roman" w:cs="Times New Roman"/>
          <w:i/>
          <w:sz w:val="24"/>
          <w:szCs w:val="20"/>
          <w:lang w:eastAsia="es-ES"/>
        </w:rPr>
        <w:t>más si reparamos en que la motivación de la</w:t>
      </w:r>
      <w:r w:rsidR="00007ECC" w:rsidRPr="00007ECC">
        <w:rPr>
          <w:rFonts w:ascii="Times New Roman" w:eastAsia="Times New Roman" w:hAnsi="Times New Roman" w:cs="Times New Roman"/>
          <w:i/>
          <w:sz w:val="24"/>
          <w:szCs w:val="20"/>
          <w:lang w:eastAsia="es-ES"/>
        </w:rPr>
        <w:t xml:space="preserve"> </w:t>
      </w:r>
      <w:r w:rsidRPr="00007ECC">
        <w:rPr>
          <w:rFonts w:ascii="Times New Roman" w:eastAsia="Times New Roman" w:hAnsi="Times New Roman" w:cs="Times New Roman"/>
          <w:i/>
          <w:sz w:val="24"/>
          <w:szCs w:val="20"/>
          <w:lang w:eastAsia="es-ES"/>
        </w:rPr>
        <w:t>figura de planeamiento impugnada ofrece unos propósitos que persiguen configurar un determinado modelo</w:t>
      </w:r>
      <w:r w:rsidR="00007ECC" w:rsidRPr="00007ECC">
        <w:rPr>
          <w:rFonts w:ascii="Times New Roman" w:eastAsia="Times New Roman" w:hAnsi="Times New Roman" w:cs="Times New Roman"/>
          <w:i/>
          <w:sz w:val="24"/>
          <w:szCs w:val="20"/>
          <w:lang w:eastAsia="es-ES"/>
        </w:rPr>
        <w:t xml:space="preserve"> </w:t>
      </w:r>
      <w:r w:rsidRPr="00007ECC">
        <w:rPr>
          <w:rFonts w:ascii="Times New Roman" w:eastAsia="Times New Roman" w:hAnsi="Times New Roman" w:cs="Times New Roman"/>
          <w:i/>
          <w:sz w:val="24"/>
          <w:szCs w:val="20"/>
          <w:lang w:eastAsia="es-ES"/>
        </w:rPr>
        <w:t>de ciudad.</w:t>
      </w:r>
      <w:r w:rsidR="00007ECC" w:rsidRPr="00007ECC">
        <w:rPr>
          <w:rFonts w:ascii="Times New Roman" w:eastAsia="Times New Roman" w:hAnsi="Times New Roman" w:cs="Times New Roman"/>
          <w:i/>
          <w:sz w:val="24"/>
          <w:szCs w:val="20"/>
          <w:lang w:eastAsia="es-ES"/>
        </w:rPr>
        <w:t>”</w:t>
      </w:r>
      <w:r w:rsidR="009A13A3">
        <w:rPr>
          <w:rFonts w:ascii="Times New Roman" w:eastAsia="Times New Roman" w:hAnsi="Times New Roman" w:cs="Times New Roman"/>
          <w:i/>
          <w:sz w:val="24"/>
          <w:szCs w:val="20"/>
          <w:lang w:eastAsia="es-ES"/>
        </w:rPr>
        <w:t>.</w:t>
      </w:r>
    </w:p>
    <w:p w:rsidR="001B376F" w:rsidRPr="001B376F" w:rsidRDefault="009A13A3"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3. En concreto, respecto al</w:t>
      </w:r>
      <w:r w:rsidR="001B376F" w:rsidRPr="001B376F">
        <w:rPr>
          <w:rFonts w:ascii="Times New Roman" w:eastAsia="Times New Roman" w:hAnsi="Times New Roman" w:cs="Times New Roman"/>
          <w:sz w:val="24"/>
          <w:szCs w:val="20"/>
          <w:lang w:eastAsia="es-ES"/>
        </w:rPr>
        <w:t xml:space="preserve"> límite máximo que se fija en las VUT habilitadas al tiempo de la</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aprobación definitiva del plan impugnado, exigiéndose para que se permita la ubicación de una nueva VUT</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 xml:space="preserve">que la Administración tenga constancia de que alguna de las existentes se haya dado de baja, </w:t>
      </w:r>
      <w:r>
        <w:rPr>
          <w:rFonts w:ascii="Times New Roman" w:eastAsia="Times New Roman" w:hAnsi="Times New Roman" w:cs="Times New Roman"/>
          <w:sz w:val="24"/>
          <w:szCs w:val="20"/>
          <w:lang w:eastAsia="es-ES"/>
        </w:rPr>
        <w:t>la sentencia de instancia entiende que</w:t>
      </w:r>
      <w:r w:rsidR="001B376F" w:rsidRPr="001B376F">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 xml:space="preserve">esta exigencia </w:t>
      </w:r>
      <w:r w:rsidR="001B376F" w:rsidRPr="001B376F">
        <w:rPr>
          <w:rFonts w:ascii="Times New Roman" w:eastAsia="Times New Roman" w:hAnsi="Times New Roman" w:cs="Times New Roman"/>
          <w:sz w:val="24"/>
          <w:szCs w:val="20"/>
          <w:lang w:eastAsia="es-ES"/>
        </w:rPr>
        <w:t xml:space="preserve"> trata de </w:t>
      </w:r>
      <w:r>
        <w:rPr>
          <w:rFonts w:ascii="Times New Roman" w:eastAsia="Times New Roman" w:hAnsi="Times New Roman" w:cs="Times New Roman"/>
          <w:sz w:val="24"/>
          <w:szCs w:val="20"/>
          <w:lang w:eastAsia="es-ES"/>
        </w:rPr>
        <w:t>ma</w:t>
      </w:r>
      <w:r w:rsidR="001B376F" w:rsidRPr="001B376F">
        <w:rPr>
          <w:rFonts w:ascii="Times New Roman" w:eastAsia="Times New Roman" w:hAnsi="Times New Roman" w:cs="Times New Roman"/>
          <w:sz w:val="24"/>
          <w:szCs w:val="20"/>
          <w:lang w:eastAsia="es-ES"/>
        </w:rPr>
        <w:t>ntener una densidad máxima de</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actividades de esa clase en la zona de que se trata</w:t>
      </w:r>
      <w:r>
        <w:rPr>
          <w:rFonts w:ascii="Times New Roman" w:eastAsia="Times New Roman" w:hAnsi="Times New Roman" w:cs="Times New Roman"/>
          <w:sz w:val="24"/>
          <w:szCs w:val="20"/>
          <w:lang w:eastAsia="es-ES"/>
        </w:rPr>
        <w:t xml:space="preserve"> supone</w:t>
      </w:r>
      <w:r w:rsidR="001B376F" w:rsidRPr="001B376F">
        <w:rPr>
          <w:rFonts w:ascii="Times New Roman" w:eastAsia="Times New Roman" w:hAnsi="Times New Roman" w:cs="Times New Roman"/>
          <w:sz w:val="24"/>
          <w:szCs w:val="20"/>
          <w:lang w:eastAsia="es-ES"/>
        </w:rPr>
        <w:t xml:space="preserve"> una </w:t>
      </w:r>
      <w:r w:rsidR="001B376F" w:rsidRPr="009A13A3">
        <w:rPr>
          <w:rFonts w:ascii="Times New Roman" w:eastAsia="Times New Roman" w:hAnsi="Times New Roman" w:cs="Times New Roman"/>
          <w:sz w:val="24"/>
          <w:szCs w:val="20"/>
          <w:u w:val="single"/>
          <w:lang w:eastAsia="es-ES"/>
        </w:rPr>
        <w:t>limitación razonable</w:t>
      </w:r>
      <w:r w:rsidR="001B376F" w:rsidRPr="001B376F">
        <w:rPr>
          <w:rFonts w:ascii="Times New Roman" w:eastAsia="Times New Roman" w:hAnsi="Times New Roman" w:cs="Times New Roman"/>
          <w:sz w:val="24"/>
          <w:szCs w:val="20"/>
          <w:lang w:eastAsia="es-ES"/>
        </w:rPr>
        <w:t xml:space="preserve"> basada en la técnica de densidades máximas netamente</w:t>
      </w:r>
      <w:r>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urbanística.</w:t>
      </w:r>
    </w:p>
    <w:p w:rsidR="001B376F" w:rsidRPr="009A13A3" w:rsidRDefault="009A13A3" w:rsidP="001B376F">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4</w:t>
      </w:r>
      <w:r w:rsidR="001B376F" w:rsidRPr="001B376F">
        <w:rPr>
          <w:rFonts w:ascii="Times New Roman" w:eastAsia="Times New Roman" w:hAnsi="Times New Roman" w:cs="Times New Roman"/>
          <w:sz w:val="24"/>
          <w:szCs w:val="20"/>
          <w:lang w:eastAsia="es-ES"/>
        </w:rPr>
        <w:t>.</w:t>
      </w:r>
      <w:r>
        <w:rPr>
          <w:rFonts w:ascii="Times New Roman" w:eastAsia="Times New Roman" w:hAnsi="Times New Roman" w:cs="Times New Roman"/>
          <w:sz w:val="24"/>
          <w:szCs w:val="20"/>
          <w:lang w:eastAsia="es-ES"/>
        </w:rPr>
        <w:t xml:space="preserve"> Se r</w:t>
      </w:r>
      <w:r w:rsidR="001B376F" w:rsidRPr="001B376F">
        <w:rPr>
          <w:rFonts w:ascii="Times New Roman" w:eastAsia="Times New Roman" w:hAnsi="Times New Roman" w:cs="Times New Roman"/>
          <w:sz w:val="24"/>
          <w:szCs w:val="20"/>
          <w:lang w:eastAsia="es-ES"/>
        </w:rPr>
        <w:t xml:space="preserve">echaza la </w:t>
      </w:r>
      <w:r>
        <w:rPr>
          <w:rFonts w:ascii="Times New Roman" w:eastAsia="Times New Roman" w:hAnsi="Times New Roman" w:cs="Times New Roman"/>
          <w:sz w:val="24"/>
          <w:szCs w:val="20"/>
          <w:lang w:eastAsia="es-ES"/>
        </w:rPr>
        <w:t>vulneración de</w:t>
      </w:r>
      <w:r w:rsidR="001B376F" w:rsidRPr="001B376F">
        <w:rPr>
          <w:rFonts w:ascii="Times New Roman" w:eastAsia="Times New Roman" w:hAnsi="Times New Roman" w:cs="Times New Roman"/>
          <w:sz w:val="24"/>
          <w:szCs w:val="20"/>
          <w:lang w:eastAsia="es-ES"/>
        </w:rPr>
        <w:t xml:space="preserve"> los </w:t>
      </w:r>
      <w:r w:rsidR="001B376F" w:rsidRPr="009A13A3">
        <w:rPr>
          <w:rFonts w:ascii="Times New Roman" w:eastAsia="Times New Roman" w:hAnsi="Times New Roman" w:cs="Times New Roman"/>
          <w:sz w:val="24"/>
          <w:szCs w:val="20"/>
          <w:u w:val="single"/>
          <w:lang w:eastAsia="es-ES"/>
        </w:rPr>
        <w:t>principios de no discriminación y de</w:t>
      </w:r>
      <w:r w:rsidRPr="009A13A3">
        <w:rPr>
          <w:rFonts w:ascii="Times New Roman" w:eastAsia="Times New Roman" w:hAnsi="Times New Roman" w:cs="Times New Roman"/>
          <w:sz w:val="24"/>
          <w:szCs w:val="20"/>
          <w:u w:val="single"/>
          <w:lang w:eastAsia="es-ES"/>
        </w:rPr>
        <w:t xml:space="preserve"> </w:t>
      </w:r>
      <w:r w:rsidR="001B376F" w:rsidRPr="009A13A3">
        <w:rPr>
          <w:rFonts w:ascii="Times New Roman" w:eastAsia="Times New Roman" w:hAnsi="Times New Roman" w:cs="Times New Roman"/>
          <w:sz w:val="24"/>
          <w:szCs w:val="20"/>
          <w:u w:val="single"/>
          <w:lang w:eastAsia="es-ES"/>
        </w:rPr>
        <w:t>proporcionalidad</w:t>
      </w:r>
      <w:r>
        <w:rPr>
          <w:rFonts w:ascii="Times New Roman" w:eastAsia="Times New Roman" w:hAnsi="Times New Roman" w:cs="Times New Roman"/>
          <w:sz w:val="24"/>
          <w:szCs w:val="20"/>
          <w:lang w:eastAsia="es-ES"/>
        </w:rPr>
        <w:t>. El TS añade a lo declarado por la sentencia de instancia que “</w:t>
      </w:r>
      <w:r w:rsidRPr="009A13A3">
        <w:rPr>
          <w:rFonts w:ascii="Times New Roman" w:eastAsia="Times New Roman" w:hAnsi="Times New Roman" w:cs="Times New Roman"/>
          <w:i/>
          <w:sz w:val="24"/>
          <w:szCs w:val="20"/>
          <w:lang w:eastAsia="es-ES"/>
        </w:rPr>
        <w:t xml:space="preserve">nada parece </w:t>
      </w:r>
      <w:r w:rsidR="001B376F" w:rsidRPr="009A13A3">
        <w:rPr>
          <w:rFonts w:ascii="Times New Roman" w:eastAsia="Times New Roman" w:hAnsi="Times New Roman" w:cs="Times New Roman"/>
          <w:i/>
          <w:sz w:val="24"/>
          <w:szCs w:val="20"/>
          <w:lang w:eastAsia="es-ES"/>
        </w:rPr>
        <w:t>indicar y ninguna prueba consta de que la figura de planeamiento impugnada no</w:t>
      </w:r>
      <w:r w:rsidRPr="009A13A3">
        <w:rPr>
          <w:rFonts w:ascii="Times New Roman" w:eastAsia="Times New Roman" w:hAnsi="Times New Roman" w:cs="Times New Roman"/>
          <w:i/>
          <w:sz w:val="24"/>
          <w:szCs w:val="20"/>
          <w:lang w:eastAsia="es-ES"/>
        </w:rPr>
        <w:t xml:space="preserve"> </w:t>
      </w:r>
      <w:r w:rsidR="001B376F" w:rsidRPr="009A13A3">
        <w:rPr>
          <w:rFonts w:ascii="Times New Roman" w:eastAsia="Times New Roman" w:hAnsi="Times New Roman" w:cs="Times New Roman"/>
          <w:i/>
          <w:sz w:val="24"/>
          <w:szCs w:val="20"/>
          <w:lang w:eastAsia="es-ES"/>
        </w:rPr>
        <w:t>se ajuste a los criterios de no discriminación, necesidad, proporcionalidad, claridad, objetividad, publicidad,</w:t>
      </w:r>
      <w:r w:rsidRPr="009A13A3">
        <w:rPr>
          <w:rFonts w:ascii="Times New Roman" w:eastAsia="Times New Roman" w:hAnsi="Times New Roman" w:cs="Times New Roman"/>
          <w:i/>
          <w:sz w:val="24"/>
          <w:szCs w:val="20"/>
          <w:lang w:eastAsia="es-ES"/>
        </w:rPr>
        <w:t xml:space="preserve"> </w:t>
      </w:r>
      <w:r w:rsidR="001B376F" w:rsidRPr="009A13A3">
        <w:rPr>
          <w:rFonts w:ascii="Times New Roman" w:eastAsia="Times New Roman" w:hAnsi="Times New Roman" w:cs="Times New Roman"/>
          <w:i/>
          <w:sz w:val="24"/>
          <w:szCs w:val="20"/>
          <w:lang w:eastAsia="es-ES"/>
        </w:rPr>
        <w:t>transparencia, accesibilidad contemplados en los artículos 15.3 de la Directiva 2006/123/CE y 9.2 de la</w:t>
      </w:r>
      <w:r w:rsidRPr="009A13A3">
        <w:rPr>
          <w:rFonts w:ascii="Times New Roman" w:eastAsia="Times New Roman" w:hAnsi="Times New Roman" w:cs="Times New Roman"/>
          <w:i/>
          <w:sz w:val="24"/>
          <w:szCs w:val="20"/>
          <w:lang w:eastAsia="es-ES"/>
        </w:rPr>
        <w:t xml:space="preserve"> </w:t>
      </w:r>
      <w:r w:rsidR="001B376F" w:rsidRPr="009A13A3">
        <w:rPr>
          <w:rFonts w:ascii="Times New Roman" w:eastAsia="Times New Roman" w:hAnsi="Times New Roman" w:cs="Times New Roman"/>
          <w:i/>
          <w:sz w:val="24"/>
          <w:szCs w:val="20"/>
          <w:lang w:eastAsia="es-ES"/>
        </w:rPr>
        <w:t>Ley 17/2009, o a los principios de intervención mínima o libertad de empresa, como propone la recurrente.</w:t>
      </w:r>
      <w:r w:rsidRPr="009A13A3">
        <w:rPr>
          <w:rFonts w:ascii="Times New Roman" w:eastAsia="Times New Roman" w:hAnsi="Times New Roman" w:cs="Times New Roman"/>
          <w:i/>
          <w:sz w:val="24"/>
          <w:szCs w:val="20"/>
          <w:lang w:eastAsia="es-ES"/>
        </w:rPr>
        <w:t xml:space="preserve"> </w:t>
      </w:r>
      <w:r w:rsidR="001B376F" w:rsidRPr="009A13A3">
        <w:rPr>
          <w:rFonts w:ascii="Times New Roman" w:eastAsia="Times New Roman" w:hAnsi="Times New Roman" w:cs="Times New Roman"/>
          <w:i/>
          <w:sz w:val="24"/>
          <w:szCs w:val="20"/>
          <w:lang w:eastAsia="es-ES"/>
        </w:rPr>
        <w:t>No vulnerándose por ello la Directiva 2003/123/CE, al respetarse el régimen establecido en la perspectiva</w:t>
      </w:r>
      <w:r w:rsidRPr="009A13A3">
        <w:rPr>
          <w:rFonts w:ascii="Times New Roman" w:eastAsia="Times New Roman" w:hAnsi="Times New Roman" w:cs="Times New Roman"/>
          <w:i/>
          <w:sz w:val="24"/>
          <w:szCs w:val="20"/>
          <w:lang w:eastAsia="es-ES"/>
        </w:rPr>
        <w:t xml:space="preserve"> </w:t>
      </w:r>
      <w:r w:rsidR="001B376F" w:rsidRPr="009A13A3">
        <w:rPr>
          <w:rFonts w:ascii="Times New Roman" w:eastAsia="Times New Roman" w:hAnsi="Times New Roman" w:cs="Times New Roman"/>
          <w:i/>
          <w:sz w:val="24"/>
          <w:szCs w:val="20"/>
          <w:lang w:eastAsia="es-ES"/>
        </w:rPr>
        <w:t xml:space="preserve">urbanística que se ordena con las técnicas de densidades máximas en la zona, en las </w:t>
      </w:r>
      <w:r w:rsidRPr="009A13A3">
        <w:rPr>
          <w:rFonts w:ascii="Times New Roman" w:eastAsia="Times New Roman" w:hAnsi="Times New Roman" w:cs="Times New Roman"/>
          <w:i/>
          <w:sz w:val="24"/>
          <w:szCs w:val="20"/>
          <w:lang w:eastAsia="es-ES"/>
        </w:rPr>
        <w:t>zonas o en la manzana.”</w:t>
      </w:r>
    </w:p>
    <w:p w:rsidR="00FC0169" w:rsidRDefault="009A13A3" w:rsidP="001B376F">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derecho a la vivienda y el control del entorno urbano son </w:t>
      </w:r>
      <w:r w:rsidR="001B376F" w:rsidRPr="001B376F">
        <w:rPr>
          <w:rFonts w:ascii="Times New Roman" w:eastAsia="Times New Roman" w:hAnsi="Times New Roman" w:cs="Times New Roman"/>
          <w:sz w:val="24"/>
          <w:szCs w:val="20"/>
          <w:lang w:eastAsia="es-ES"/>
        </w:rPr>
        <w:t>dos conceptos que habilitan la intervención municipal, en uso de</w:t>
      </w:r>
      <w:r w:rsidR="00FC0169">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la potestad de planeamiento, incluso en el marco de la citada Directiva de Servicios y de la normativa interna</w:t>
      </w:r>
      <w:r w:rsidR="00FC0169">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 xml:space="preserve">española que se ha considerado </w:t>
      </w:r>
      <w:r w:rsidR="00FC0169">
        <w:rPr>
          <w:rFonts w:ascii="Times New Roman" w:eastAsia="Times New Roman" w:hAnsi="Times New Roman" w:cs="Times New Roman"/>
          <w:sz w:val="24"/>
          <w:szCs w:val="20"/>
          <w:lang w:eastAsia="es-ES"/>
        </w:rPr>
        <w:t>como</w:t>
      </w:r>
      <w:r w:rsidR="001B376F" w:rsidRPr="001B376F">
        <w:rPr>
          <w:rFonts w:ascii="Times New Roman" w:eastAsia="Times New Roman" w:hAnsi="Times New Roman" w:cs="Times New Roman"/>
          <w:sz w:val="24"/>
          <w:szCs w:val="20"/>
          <w:lang w:eastAsia="es-ES"/>
        </w:rPr>
        <w:t xml:space="preserve"> infringida</w:t>
      </w:r>
      <w:r w:rsidR="00FC0169">
        <w:rPr>
          <w:rFonts w:ascii="Times New Roman" w:eastAsia="Times New Roman" w:hAnsi="Times New Roman" w:cs="Times New Roman"/>
          <w:sz w:val="24"/>
          <w:szCs w:val="20"/>
          <w:lang w:eastAsia="es-ES"/>
        </w:rPr>
        <w:t>. Esos</w:t>
      </w:r>
      <w:r w:rsidR="001B376F" w:rsidRPr="001B376F">
        <w:rPr>
          <w:rFonts w:ascii="Times New Roman" w:eastAsia="Times New Roman" w:hAnsi="Times New Roman" w:cs="Times New Roman"/>
          <w:sz w:val="24"/>
          <w:szCs w:val="20"/>
          <w:lang w:eastAsia="es-ES"/>
        </w:rPr>
        <w:t xml:space="preserve"> conceptos permiten entender que nos</w:t>
      </w:r>
      <w:r w:rsidR="00FC0169">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encontramos ante "una razón imperiosa de interés general" que habilitaba, a</w:t>
      </w:r>
      <w:r w:rsidR="00FC0169">
        <w:rPr>
          <w:rFonts w:ascii="Times New Roman" w:eastAsia="Times New Roman" w:hAnsi="Times New Roman" w:cs="Times New Roman"/>
          <w:sz w:val="24"/>
          <w:szCs w:val="20"/>
          <w:lang w:eastAsia="es-ES"/>
        </w:rPr>
        <w:t xml:space="preserve"> </w:t>
      </w:r>
      <w:r w:rsidR="001B376F" w:rsidRPr="001B376F">
        <w:rPr>
          <w:rFonts w:ascii="Times New Roman" w:eastAsia="Times New Roman" w:hAnsi="Times New Roman" w:cs="Times New Roman"/>
          <w:sz w:val="24"/>
          <w:szCs w:val="20"/>
          <w:lang w:eastAsia="es-ES"/>
        </w:rPr>
        <w:t>la Administración local, para someter a las VUT de referencia, a una calificación o régimen de usos urbanística</w:t>
      </w:r>
      <w:r w:rsidR="00FC0169">
        <w:rPr>
          <w:rFonts w:ascii="Times New Roman" w:eastAsia="Times New Roman" w:hAnsi="Times New Roman" w:cs="Times New Roman"/>
          <w:sz w:val="24"/>
          <w:szCs w:val="20"/>
          <w:lang w:eastAsia="es-ES"/>
        </w:rPr>
        <w:t>.</w:t>
      </w:r>
    </w:p>
    <w:p w:rsidR="001B376F" w:rsidRPr="00FC0169" w:rsidRDefault="001B376F" w:rsidP="001B376F">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1B376F">
        <w:rPr>
          <w:rFonts w:ascii="Times New Roman" w:eastAsia="Times New Roman" w:hAnsi="Times New Roman" w:cs="Times New Roman"/>
          <w:sz w:val="24"/>
          <w:szCs w:val="20"/>
          <w:lang w:eastAsia="es-ES"/>
        </w:rPr>
        <w:lastRenderedPageBreak/>
        <w:t>E</w:t>
      </w:r>
      <w:r w:rsidR="00FC0169">
        <w:rPr>
          <w:rFonts w:ascii="Times New Roman" w:eastAsia="Times New Roman" w:hAnsi="Times New Roman" w:cs="Times New Roman"/>
          <w:sz w:val="24"/>
          <w:szCs w:val="20"/>
          <w:lang w:eastAsia="es-ES"/>
        </w:rPr>
        <w:t xml:space="preserve">l TS considera </w:t>
      </w:r>
      <w:r w:rsidRPr="001B376F">
        <w:rPr>
          <w:rFonts w:ascii="Times New Roman" w:eastAsia="Times New Roman" w:hAnsi="Times New Roman" w:cs="Times New Roman"/>
          <w:sz w:val="24"/>
          <w:szCs w:val="20"/>
          <w:lang w:eastAsia="es-ES"/>
        </w:rPr>
        <w:t xml:space="preserve">la limitación cuestionada </w:t>
      </w:r>
      <w:r w:rsidR="00FC0169">
        <w:rPr>
          <w:rFonts w:ascii="Times New Roman" w:eastAsia="Times New Roman" w:hAnsi="Times New Roman" w:cs="Times New Roman"/>
          <w:sz w:val="24"/>
          <w:szCs w:val="20"/>
          <w:lang w:eastAsia="es-ES"/>
        </w:rPr>
        <w:t xml:space="preserve">como </w:t>
      </w:r>
      <w:r w:rsidRPr="001B376F">
        <w:rPr>
          <w:rFonts w:ascii="Times New Roman" w:eastAsia="Times New Roman" w:hAnsi="Times New Roman" w:cs="Times New Roman"/>
          <w:sz w:val="24"/>
          <w:szCs w:val="20"/>
          <w:lang w:eastAsia="es-ES"/>
        </w:rPr>
        <w:t>objetiva y plenamente razonable,</w:t>
      </w:r>
      <w:r w:rsidR="00FC0169">
        <w:rPr>
          <w:rFonts w:ascii="Times New Roman" w:eastAsia="Times New Roman" w:hAnsi="Times New Roman" w:cs="Times New Roman"/>
          <w:sz w:val="24"/>
          <w:szCs w:val="20"/>
          <w:lang w:eastAsia="es-ES"/>
        </w:rPr>
        <w:t xml:space="preserve"> </w:t>
      </w:r>
      <w:r w:rsidRPr="001B376F">
        <w:rPr>
          <w:rFonts w:ascii="Times New Roman" w:eastAsia="Times New Roman" w:hAnsi="Times New Roman" w:cs="Times New Roman"/>
          <w:sz w:val="24"/>
          <w:szCs w:val="20"/>
          <w:lang w:eastAsia="es-ES"/>
        </w:rPr>
        <w:t xml:space="preserve">y por ello, no discriminatoria, </w:t>
      </w:r>
      <w:r w:rsidR="00FC0169">
        <w:rPr>
          <w:rFonts w:ascii="Times New Roman" w:eastAsia="Times New Roman" w:hAnsi="Times New Roman" w:cs="Times New Roman"/>
          <w:sz w:val="24"/>
          <w:szCs w:val="20"/>
          <w:lang w:eastAsia="es-ES"/>
        </w:rPr>
        <w:t>suficientemente motivada</w:t>
      </w:r>
      <w:r w:rsidRPr="001B376F">
        <w:rPr>
          <w:rFonts w:ascii="Times New Roman" w:eastAsia="Times New Roman" w:hAnsi="Times New Roman" w:cs="Times New Roman"/>
          <w:sz w:val="24"/>
          <w:szCs w:val="20"/>
          <w:lang w:eastAsia="es-ES"/>
        </w:rPr>
        <w:t>.</w:t>
      </w:r>
      <w:r w:rsidR="00FC0169">
        <w:rPr>
          <w:rFonts w:ascii="Times New Roman" w:eastAsia="Times New Roman" w:hAnsi="Times New Roman" w:cs="Times New Roman"/>
          <w:sz w:val="24"/>
          <w:szCs w:val="20"/>
          <w:lang w:eastAsia="es-ES"/>
        </w:rPr>
        <w:t xml:space="preserve"> “</w:t>
      </w:r>
      <w:r w:rsidR="00FC0169" w:rsidRPr="00FC0169">
        <w:rPr>
          <w:rFonts w:ascii="Times New Roman" w:eastAsia="Times New Roman" w:hAnsi="Times New Roman" w:cs="Times New Roman"/>
          <w:i/>
          <w:sz w:val="24"/>
          <w:szCs w:val="20"/>
          <w:lang w:eastAsia="es-ES"/>
        </w:rPr>
        <w:t>(…) L</w:t>
      </w:r>
      <w:r w:rsidRPr="00FC0169">
        <w:rPr>
          <w:rFonts w:ascii="Times New Roman" w:eastAsia="Times New Roman" w:hAnsi="Times New Roman" w:cs="Times New Roman"/>
          <w:i/>
          <w:sz w:val="24"/>
          <w:szCs w:val="20"/>
          <w:lang w:eastAsia="es-ES"/>
        </w:rPr>
        <w:t>os criterios utilizados para sustentar las limitaciones son criterios objetivos, se encuentran</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plenamente conectados con la ordenación del suelo y tienen pleno acomodo en el objeto de este tipo de</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planes urbanísticos que ordenan la incidencia que la actividad, en este caso de VUT, produce en el territorio,</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y más en concreto, por lo que a este caso se refiere, en el derecho a la vivienda y en el entorno urbano,</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regulando y ordenando su intensidad en función de criterios netamente urbanísticos como son, entre otros,</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el establecimiento de densidades máximas en función de la proporción existente en los barrios y manzanas</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entre las VUT y las viviendas de uso residencial o entre población flotante y residente; el número, distribución</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territorial y ubicación de las VUT existentes en los distintos barrios, manzanas y edificios; las características</w:t>
      </w:r>
      <w:r w:rsidR="00FC0169" w:rsidRP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urbanísticas del tejido urbano o la tipología arquitectónica de los edificios.</w:t>
      </w:r>
    </w:p>
    <w:p w:rsidR="001B376F" w:rsidRPr="00FC0169" w:rsidRDefault="001B376F" w:rsidP="001B376F">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FC0169">
        <w:rPr>
          <w:rFonts w:ascii="Times New Roman" w:eastAsia="Times New Roman" w:hAnsi="Times New Roman" w:cs="Times New Roman"/>
          <w:i/>
          <w:sz w:val="24"/>
          <w:szCs w:val="20"/>
          <w:lang w:eastAsia="es-ES"/>
        </w:rPr>
        <w:t>Se trata, por tanto, de un adecuado ejercicio por el planificador de la potestad de ordenación urbanística,</w:t>
      </w:r>
      <w:r w:rsid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enraizada en el principio de desarrollo sostenible y debidamente justificada en la protección del derecho a la</w:t>
      </w:r>
      <w:r w:rsidR="00FC0169">
        <w:rPr>
          <w:rFonts w:ascii="Times New Roman" w:eastAsia="Times New Roman" w:hAnsi="Times New Roman" w:cs="Times New Roman"/>
          <w:i/>
          <w:sz w:val="24"/>
          <w:szCs w:val="20"/>
          <w:lang w:eastAsia="es-ES"/>
        </w:rPr>
        <w:t xml:space="preserve"> </w:t>
      </w:r>
      <w:r w:rsidRPr="00FC0169">
        <w:rPr>
          <w:rFonts w:ascii="Times New Roman" w:eastAsia="Times New Roman" w:hAnsi="Times New Roman" w:cs="Times New Roman"/>
          <w:i/>
          <w:sz w:val="24"/>
          <w:szCs w:val="20"/>
          <w:lang w:eastAsia="es-ES"/>
        </w:rPr>
        <w:t>vivienda y del entorno urbano</w:t>
      </w:r>
      <w:r w:rsidR="00FC0169">
        <w:rPr>
          <w:rFonts w:ascii="Times New Roman" w:eastAsia="Times New Roman" w:hAnsi="Times New Roman" w:cs="Times New Roman"/>
          <w:i/>
          <w:sz w:val="24"/>
          <w:szCs w:val="20"/>
          <w:lang w:eastAsia="es-ES"/>
        </w:rPr>
        <w:t>”</w:t>
      </w:r>
      <w:r w:rsidRPr="00FC0169">
        <w:rPr>
          <w:rFonts w:ascii="Times New Roman" w:eastAsia="Times New Roman" w:hAnsi="Times New Roman" w:cs="Times New Roman"/>
          <w:i/>
          <w:sz w:val="24"/>
          <w:szCs w:val="20"/>
          <w:lang w:eastAsia="es-ES"/>
        </w:rPr>
        <w:t>.</w:t>
      </w:r>
    </w:p>
    <w:p w:rsidR="00EB4B39" w:rsidRDefault="00FC0169"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Concluye el TS diciendo que “</w:t>
      </w:r>
      <w:r w:rsidRPr="00FC0169">
        <w:rPr>
          <w:rFonts w:ascii="Times New Roman" w:eastAsia="Times New Roman" w:hAnsi="Times New Roman" w:cs="Times New Roman"/>
          <w:i/>
          <w:sz w:val="24"/>
          <w:szCs w:val="20"/>
          <w:lang w:eastAsia="es-ES"/>
        </w:rPr>
        <w:t xml:space="preserve">(…) </w:t>
      </w:r>
      <w:r w:rsidR="001B376F" w:rsidRPr="00FC0169">
        <w:rPr>
          <w:rFonts w:ascii="Times New Roman" w:eastAsia="Times New Roman" w:hAnsi="Times New Roman" w:cs="Times New Roman"/>
          <w:i/>
          <w:sz w:val="24"/>
          <w:szCs w:val="20"/>
          <w:lang w:eastAsia="es-ES"/>
        </w:rPr>
        <w:t>En definitiva, y como concluyéramos en nuestra sentencia de 19 de noviembre de 2020, también en este caso</w:t>
      </w:r>
      <w:r w:rsidRPr="00FC0169">
        <w:rPr>
          <w:rFonts w:ascii="Times New Roman" w:eastAsia="Times New Roman" w:hAnsi="Times New Roman" w:cs="Times New Roman"/>
          <w:i/>
          <w:sz w:val="24"/>
          <w:szCs w:val="20"/>
          <w:lang w:eastAsia="es-ES"/>
        </w:rPr>
        <w:t xml:space="preserve"> </w:t>
      </w:r>
      <w:r w:rsidR="001B376F" w:rsidRPr="00FC0169">
        <w:rPr>
          <w:rFonts w:ascii="Times New Roman" w:eastAsia="Times New Roman" w:hAnsi="Times New Roman" w:cs="Times New Roman"/>
          <w:i/>
          <w:sz w:val="24"/>
          <w:szCs w:val="20"/>
          <w:lang w:eastAsia="es-ES"/>
        </w:rPr>
        <w:t>debemos concluir que se trata de una decisión adoptada por la Administración que mejor conoce la ciudad de</w:t>
      </w:r>
      <w:r w:rsidRPr="00FC0169">
        <w:rPr>
          <w:rFonts w:ascii="Times New Roman" w:eastAsia="Times New Roman" w:hAnsi="Times New Roman" w:cs="Times New Roman"/>
          <w:i/>
          <w:sz w:val="24"/>
          <w:szCs w:val="20"/>
          <w:lang w:eastAsia="es-ES"/>
        </w:rPr>
        <w:t xml:space="preserve"> </w:t>
      </w:r>
      <w:r w:rsidR="001B376F" w:rsidRPr="00FC0169">
        <w:rPr>
          <w:rFonts w:ascii="Times New Roman" w:eastAsia="Times New Roman" w:hAnsi="Times New Roman" w:cs="Times New Roman"/>
          <w:i/>
          <w:sz w:val="24"/>
          <w:szCs w:val="20"/>
          <w:lang w:eastAsia="es-ES"/>
        </w:rPr>
        <w:t>Barcelona, que la ha justificado en la Memoria que acompaña al Acuerdo adoptado y que la Sala de instancia</w:t>
      </w:r>
      <w:r w:rsidRPr="00FC0169">
        <w:rPr>
          <w:rFonts w:ascii="Times New Roman" w:eastAsia="Times New Roman" w:hAnsi="Times New Roman" w:cs="Times New Roman"/>
          <w:i/>
          <w:sz w:val="24"/>
          <w:szCs w:val="20"/>
          <w:lang w:eastAsia="es-ES"/>
        </w:rPr>
        <w:t xml:space="preserve"> </w:t>
      </w:r>
      <w:r w:rsidR="001B376F" w:rsidRPr="00FC0169">
        <w:rPr>
          <w:rFonts w:ascii="Times New Roman" w:eastAsia="Times New Roman" w:hAnsi="Times New Roman" w:cs="Times New Roman"/>
          <w:i/>
          <w:sz w:val="24"/>
          <w:szCs w:val="20"/>
          <w:lang w:eastAsia="es-ES"/>
        </w:rPr>
        <w:t>ha valorado correctamente en uso de las facultades que le corresponden, debiendo excluirse la vulneración,</w:t>
      </w:r>
      <w:r w:rsidRPr="00FC0169">
        <w:rPr>
          <w:rFonts w:ascii="Times New Roman" w:eastAsia="Times New Roman" w:hAnsi="Times New Roman" w:cs="Times New Roman"/>
          <w:i/>
          <w:sz w:val="24"/>
          <w:szCs w:val="20"/>
          <w:lang w:eastAsia="es-ES"/>
        </w:rPr>
        <w:t xml:space="preserve"> </w:t>
      </w:r>
      <w:r w:rsidR="001B376F" w:rsidRPr="00FC0169">
        <w:rPr>
          <w:rFonts w:ascii="Times New Roman" w:eastAsia="Times New Roman" w:hAnsi="Times New Roman" w:cs="Times New Roman"/>
          <w:i/>
          <w:sz w:val="24"/>
          <w:szCs w:val="20"/>
          <w:lang w:eastAsia="es-ES"/>
        </w:rPr>
        <w:t>tanto de la Directiva 2006/123, como de la legislación interna que la traspone</w:t>
      </w:r>
      <w:r w:rsidRPr="00FC0169">
        <w:rPr>
          <w:rFonts w:ascii="Times New Roman" w:eastAsia="Times New Roman" w:hAnsi="Times New Roman" w:cs="Times New Roman"/>
          <w:i/>
          <w:sz w:val="24"/>
          <w:szCs w:val="20"/>
          <w:lang w:eastAsia="es-ES"/>
        </w:rPr>
        <w:t>”</w:t>
      </w:r>
      <w:r>
        <w:rPr>
          <w:rFonts w:ascii="Times New Roman" w:eastAsia="Times New Roman" w:hAnsi="Times New Roman" w:cs="Times New Roman"/>
          <w:sz w:val="24"/>
          <w:szCs w:val="20"/>
          <w:lang w:eastAsia="es-ES"/>
        </w:rPr>
        <w:t>, y, en consecuencia, desestima el recurso de casación interpuesto por los recurrentes.</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3.- TRIBUNALES SUPERIORES DE JUSTICIA</w:t>
      </w:r>
    </w:p>
    <w:p w:rsidR="00F86927" w:rsidRPr="002E0799" w:rsidRDefault="002E0799" w:rsidP="00622642">
      <w:pPr>
        <w:tabs>
          <w:tab w:val="left" w:pos="-2268"/>
        </w:tabs>
        <w:spacing w:before="240" w:after="0" w:line="360" w:lineRule="auto"/>
        <w:ind w:firstLine="709"/>
        <w:jc w:val="both"/>
        <w:rPr>
          <w:rFonts w:ascii="Times New Roman" w:eastAsia="Times New Roman" w:hAnsi="Times New Roman" w:cs="Times New Roman"/>
          <w:b/>
          <w:sz w:val="24"/>
          <w:szCs w:val="20"/>
          <w:lang w:eastAsia="es-ES"/>
        </w:rPr>
      </w:pPr>
      <w:r w:rsidRPr="002E0799">
        <w:rPr>
          <w:rFonts w:ascii="Times New Roman" w:eastAsia="Times New Roman" w:hAnsi="Times New Roman" w:cs="Times New Roman"/>
          <w:b/>
          <w:sz w:val="24"/>
          <w:szCs w:val="20"/>
          <w:lang w:eastAsia="es-ES"/>
        </w:rPr>
        <w:t>J) ARAGÓN</w:t>
      </w:r>
    </w:p>
    <w:p w:rsidR="00622642" w:rsidRPr="00622642" w:rsidRDefault="00622642" w:rsidP="00622642">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t xml:space="preserve">- </w:t>
      </w:r>
      <w:r w:rsidRPr="00622642">
        <w:rPr>
          <w:rFonts w:ascii="Times New Roman" w:eastAsia="Times New Roman" w:hAnsi="Times New Roman" w:cs="Times New Roman"/>
          <w:b/>
          <w:sz w:val="24"/>
          <w:szCs w:val="20"/>
          <w:u w:val="single"/>
          <w:lang w:eastAsia="es-ES"/>
        </w:rPr>
        <w:t xml:space="preserve">Sentencia </w:t>
      </w:r>
      <w:r w:rsidR="00EA752D">
        <w:rPr>
          <w:rFonts w:ascii="Times New Roman" w:eastAsia="Times New Roman" w:hAnsi="Times New Roman" w:cs="Times New Roman"/>
          <w:b/>
          <w:sz w:val="24"/>
          <w:szCs w:val="20"/>
          <w:u w:val="single"/>
          <w:lang w:eastAsia="es-ES"/>
        </w:rPr>
        <w:t>3</w:t>
      </w:r>
      <w:r w:rsidRPr="00622642">
        <w:rPr>
          <w:rFonts w:ascii="Times New Roman" w:eastAsia="Times New Roman" w:hAnsi="Times New Roman" w:cs="Times New Roman"/>
          <w:b/>
          <w:sz w:val="24"/>
          <w:szCs w:val="20"/>
          <w:u w:val="single"/>
          <w:lang w:eastAsia="es-ES"/>
        </w:rPr>
        <w:t>/202</w:t>
      </w:r>
      <w:r w:rsidR="00EA752D">
        <w:rPr>
          <w:rFonts w:ascii="Times New Roman" w:eastAsia="Times New Roman" w:hAnsi="Times New Roman" w:cs="Times New Roman"/>
          <w:b/>
          <w:sz w:val="24"/>
          <w:szCs w:val="20"/>
          <w:u w:val="single"/>
          <w:lang w:eastAsia="es-ES"/>
        </w:rPr>
        <w:t>1</w:t>
      </w:r>
      <w:r w:rsidRPr="00622642">
        <w:rPr>
          <w:rFonts w:ascii="Times New Roman" w:eastAsia="Times New Roman" w:hAnsi="Times New Roman" w:cs="Times New Roman"/>
          <w:b/>
          <w:sz w:val="24"/>
          <w:szCs w:val="20"/>
          <w:u w:val="single"/>
          <w:lang w:eastAsia="es-ES"/>
        </w:rPr>
        <w:t xml:space="preserve">, de </w:t>
      </w:r>
      <w:r w:rsidR="00EA752D">
        <w:rPr>
          <w:rFonts w:ascii="Times New Roman" w:eastAsia="Times New Roman" w:hAnsi="Times New Roman" w:cs="Times New Roman"/>
          <w:b/>
          <w:sz w:val="24"/>
          <w:szCs w:val="20"/>
          <w:u w:val="single"/>
          <w:lang w:eastAsia="es-ES"/>
        </w:rPr>
        <w:t>5</w:t>
      </w:r>
      <w:r w:rsidRPr="00622642">
        <w:rPr>
          <w:rFonts w:ascii="Times New Roman" w:eastAsia="Times New Roman" w:hAnsi="Times New Roman" w:cs="Times New Roman"/>
          <w:b/>
          <w:sz w:val="24"/>
          <w:szCs w:val="20"/>
          <w:u w:val="single"/>
          <w:lang w:eastAsia="es-ES"/>
        </w:rPr>
        <w:t xml:space="preserve"> de </w:t>
      </w:r>
      <w:r w:rsidR="00EA752D">
        <w:rPr>
          <w:rFonts w:ascii="Times New Roman" w:eastAsia="Times New Roman" w:hAnsi="Times New Roman" w:cs="Times New Roman"/>
          <w:b/>
          <w:sz w:val="24"/>
          <w:szCs w:val="20"/>
          <w:u w:val="single"/>
          <w:lang w:eastAsia="es-ES"/>
        </w:rPr>
        <w:t>enero</w:t>
      </w:r>
      <w:r w:rsidRPr="00622642">
        <w:rPr>
          <w:rFonts w:ascii="Times New Roman" w:eastAsia="Times New Roman" w:hAnsi="Times New Roman" w:cs="Times New Roman"/>
          <w:b/>
          <w:sz w:val="24"/>
          <w:szCs w:val="20"/>
          <w:u w:val="single"/>
          <w:lang w:eastAsia="es-ES"/>
        </w:rPr>
        <w:t xml:space="preserve">, de la Sala de lo Contencioso Administrativo, Sección </w:t>
      </w:r>
      <w:r w:rsidR="002E0799">
        <w:rPr>
          <w:rFonts w:ascii="Times New Roman" w:eastAsia="Times New Roman" w:hAnsi="Times New Roman" w:cs="Times New Roman"/>
          <w:b/>
          <w:sz w:val="24"/>
          <w:szCs w:val="20"/>
          <w:u w:val="single"/>
          <w:lang w:eastAsia="es-ES"/>
        </w:rPr>
        <w:t>Primera</w:t>
      </w:r>
      <w:r w:rsidRPr="00622642">
        <w:rPr>
          <w:rFonts w:ascii="Times New Roman" w:eastAsia="Times New Roman" w:hAnsi="Times New Roman" w:cs="Times New Roman"/>
          <w:b/>
          <w:sz w:val="24"/>
          <w:szCs w:val="20"/>
          <w:u w:val="single"/>
          <w:lang w:eastAsia="es-ES"/>
        </w:rPr>
        <w:t xml:space="preserve">, del TSJ de </w:t>
      </w:r>
      <w:r w:rsidR="002E0799">
        <w:rPr>
          <w:rFonts w:ascii="Times New Roman" w:eastAsia="Times New Roman" w:hAnsi="Times New Roman" w:cs="Times New Roman"/>
          <w:b/>
          <w:sz w:val="24"/>
          <w:szCs w:val="20"/>
          <w:u w:val="single"/>
          <w:lang w:eastAsia="es-ES"/>
        </w:rPr>
        <w:t>Aragón</w:t>
      </w:r>
      <w:r w:rsidRPr="00622642">
        <w:rPr>
          <w:rFonts w:ascii="Times New Roman" w:eastAsia="Times New Roman" w:hAnsi="Times New Roman" w:cs="Times New Roman"/>
          <w:b/>
          <w:sz w:val="24"/>
          <w:szCs w:val="20"/>
          <w:u w:val="single"/>
          <w:lang w:eastAsia="es-ES"/>
        </w:rPr>
        <w:t xml:space="preserve">, que estima parcialmente </w:t>
      </w:r>
      <w:r w:rsidR="00EA752D">
        <w:rPr>
          <w:rFonts w:ascii="Times New Roman" w:eastAsia="Times New Roman" w:hAnsi="Times New Roman" w:cs="Times New Roman"/>
          <w:b/>
          <w:sz w:val="24"/>
          <w:szCs w:val="20"/>
          <w:u w:val="single"/>
          <w:lang w:eastAsia="es-ES"/>
        </w:rPr>
        <w:t>un</w:t>
      </w:r>
      <w:r w:rsidRPr="00622642">
        <w:rPr>
          <w:rFonts w:ascii="Times New Roman" w:eastAsia="Times New Roman" w:hAnsi="Times New Roman" w:cs="Times New Roman"/>
          <w:b/>
          <w:sz w:val="24"/>
          <w:szCs w:val="20"/>
          <w:u w:val="single"/>
          <w:lang w:eastAsia="es-ES"/>
        </w:rPr>
        <w:t xml:space="preserve"> recurso de apelación interpuesto contra una sentencia del JCA</w:t>
      </w:r>
      <w:r w:rsidR="00EA752D">
        <w:rPr>
          <w:rFonts w:ascii="Times New Roman" w:eastAsia="Times New Roman" w:hAnsi="Times New Roman" w:cs="Times New Roman"/>
          <w:b/>
          <w:sz w:val="24"/>
          <w:szCs w:val="20"/>
          <w:u w:val="single"/>
          <w:lang w:eastAsia="es-ES"/>
        </w:rPr>
        <w:t xml:space="preserve"> nº 1 de Zaragoza</w:t>
      </w:r>
      <w:r w:rsidRPr="00622642">
        <w:rPr>
          <w:rFonts w:ascii="Times New Roman" w:eastAsia="Times New Roman" w:hAnsi="Times New Roman" w:cs="Times New Roman"/>
          <w:b/>
          <w:sz w:val="24"/>
          <w:szCs w:val="20"/>
          <w:u w:val="single"/>
          <w:lang w:eastAsia="es-ES"/>
        </w:rPr>
        <w:t xml:space="preserve">, que, a su vez, </w:t>
      </w:r>
      <w:r w:rsidR="00EA752D">
        <w:rPr>
          <w:rFonts w:ascii="Times New Roman" w:eastAsia="Times New Roman" w:hAnsi="Times New Roman" w:cs="Times New Roman"/>
          <w:b/>
          <w:sz w:val="24"/>
          <w:szCs w:val="20"/>
          <w:u w:val="single"/>
          <w:lang w:eastAsia="es-ES"/>
        </w:rPr>
        <w:t>dese</w:t>
      </w:r>
      <w:r w:rsidRPr="00622642">
        <w:rPr>
          <w:rFonts w:ascii="Times New Roman" w:eastAsia="Times New Roman" w:hAnsi="Times New Roman" w:cs="Times New Roman"/>
          <w:b/>
          <w:sz w:val="24"/>
          <w:szCs w:val="20"/>
          <w:u w:val="single"/>
          <w:lang w:eastAsia="es-ES"/>
        </w:rPr>
        <w:t xml:space="preserve">stimó el RCA deducido contra </w:t>
      </w:r>
      <w:r w:rsidR="00EA752D">
        <w:rPr>
          <w:rFonts w:ascii="Times New Roman" w:eastAsia="Times New Roman" w:hAnsi="Times New Roman" w:cs="Times New Roman"/>
          <w:b/>
          <w:sz w:val="24"/>
          <w:szCs w:val="20"/>
          <w:u w:val="single"/>
          <w:lang w:eastAsia="es-ES"/>
        </w:rPr>
        <w:t xml:space="preserve">una orden de realización de determinadas </w:t>
      </w:r>
      <w:r w:rsidR="00EA752D">
        <w:rPr>
          <w:rFonts w:ascii="Times New Roman" w:eastAsia="Times New Roman" w:hAnsi="Times New Roman" w:cs="Times New Roman"/>
          <w:b/>
          <w:sz w:val="24"/>
          <w:szCs w:val="20"/>
          <w:u w:val="single"/>
          <w:lang w:eastAsia="es-ES"/>
        </w:rPr>
        <w:lastRenderedPageBreak/>
        <w:t>actuaciones en un edificio desocupado de interés arquitectónico</w:t>
      </w:r>
      <w:r w:rsidRPr="00622642">
        <w:rPr>
          <w:rFonts w:ascii="Times New Roman" w:eastAsia="Times New Roman" w:hAnsi="Times New Roman" w:cs="Times New Roman"/>
          <w:sz w:val="24"/>
          <w:szCs w:val="20"/>
          <w:lang w:eastAsia="es-ES"/>
        </w:rPr>
        <w:t xml:space="preserve">. (Roj: STSJ </w:t>
      </w:r>
      <w:r w:rsidR="002E0799">
        <w:rPr>
          <w:rFonts w:ascii="Times New Roman" w:eastAsia="Times New Roman" w:hAnsi="Times New Roman" w:cs="Times New Roman"/>
          <w:sz w:val="24"/>
          <w:szCs w:val="20"/>
          <w:lang w:eastAsia="es-ES"/>
        </w:rPr>
        <w:t>AR</w:t>
      </w:r>
      <w:r w:rsidRPr="00622642">
        <w:rPr>
          <w:rFonts w:ascii="Times New Roman" w:eastAsia="Times New Roman" w:hAnsi="Times New Roman" w:cs="Times New Roman"/>
          <w:sz w:val="24"/>
          <w:szCs w:val="20"/>
          <w:lang w:eastAsia="es-ES"/>
        </w:rPr>
        <w:t xml:space="preserve"> </w:t>
      </w:r>
      <w:r w:rsidR="002E0799">
        <w:rPr>
          <w:rFonts w:ascii="Times New Roman" w:eastAsia="Times New Roman" w:hAnsi="Times New Roman" w:cs="Times New Roman"/>
          <w:sz w:val="24"/>
          <w:szCs w:val="20"/>
          <w:lang w:eastAsia="es-ES"/>
        </w:rPr>
        <w:t>4</w:t>
      </w:r>
      <w:r w:rsidRPr="00622642">
        <w:rPr>
          <w:rFonts w:ascii="Times New Roman" w:eastAsia="Times New Roman" w:hAnsi="Times New Roman" w:cs="Times New Roman"/>
          <w:sz w:val="24"/>
          <w:szCs w:val="20"/>
          <w:lang w:eastAsia="es-ES"/>
        </w:rPr>
        <w:t>/202</w:t>
      </w:r>
      <w:r w:rsidR="002E0799">
        <w:rPr>
          <w:rFonts w:ascii="Times New Roman" w:eastAsia="Times New Roman" w:hAnsi="Times New Roman" w:cs="Times New Roman"/>
          <w:sz w:val="24"/>
          <w:szCs w:val="20"/>
          <w:lang w:eastAsia="es-ES"/>
        </w:rPr>
        <w:t>1</w:t>
      </w:r>
      <w:r w:rsidRPr="00622642">
        <w:rPr>
          <w:rFonts w:ascii="Times New Roman" w:eastAsia="Times New Roman" w:hAnsi="Times New Roman" w:cs="Times New Roman"/>
          <w:sz w:val="24"/>
          <w:szCs w:val="20"/>
          <w:lang w:eastAsia="es-ES"/>
        </w:rPr>
        <w:t>)</w:t>
      </w:r>
    </w:p>
    <w:p w:rsidR="002E0799" w:rsidRPr="002E0799" w:rsidRDefault="00EA752D"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acto objeto del recurso trata de una orden de ejecución de obras</w:t>
      </w:r>
      <w:r w:rsidR="00E760A4">
        <w:rPr>
          <w:rFonts w:ascii="Times New Roman" w:eastAsia="Times New Roman" w:hAnsi="Times New Roman" w:cs="Times New Roman"/>
          <w:sz w:val="24"/>
          <w:szCs w:val="20"/>
          <w:lang w:eastAsia="es-ES"/>
        </w:rPr>
        <w:t xml:space="preserve"> de rehabilitación</w:t>
      </w:r>
      <w:r>
        <w:rPr>
          <w:rFonts w:ascii="Times New Roman" w:eastAsia="Times New Roman" w:hAnsi="Times New Roman" w:cs="Times New Roman"/>
          <w:sz w:val="24"/>
          <w:szCs w:val="20"/>
          <w:lang w:eastAsia="es-ES"/>
        </w:rPr>
        <w:t xml:space="preserve">, algunas de ellas inmediatas </w:t>
      </w:r>
      <w:r w:rsidR="002E0799" w:rsidRPr="002E0799">
        <w:rPr>
          <w:rFonts w:ascii="Times New Roman" w:eastAsia="Times New Roman" w:hAnsi="Times New Roman" w:cs="Times New Roman"/>
          <w:sz w:val="24"/>
          <w:szCs w:val="20"/>
          <w:lang w:eastAsia="es-ES"/>
        </w:rPr>
        <w:t>debido al estado del edificio</w:t>
      </w:r>
      <w:r w:rsidR="00E760A4">
        <w:rPr>
          <w:rFonts w:ascii="Times New Roman" w:eastAsia="Times New Roman" w:hAnsi="Times New Roman" w:cs="Times New Roman"/>
          <w:sz w:val="24"/>
          <w:szCs w:val="20"/>
          <w:lang w:eastAsia="es-ES"/>
        </w:rPr>
        <w:t>, a realizar en el</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plazo de dos meses</w:t>
      </w:r>
      <w:r w:rsidR="00E760A4">
        <w:rPr>
          <w:rFonts w:ascii="Times New Roman" w:eastAsia="Times New Roman" w:hAnsi="Times New Roman" w:cs="Times New Roman"/>
          <w:sz w:val="24"/>
          <w:szCs w:val="20"/>
          <w:lang w:eastAsia="es-ES"/>
        </w:rPr>
        <w:t xml:space="preserve">, después de una denuncia de la Policía Local, que consideró que el edificio no reunía condiciones básicas de seguridad, observando graves </w:t>
      </w:r>
      <w:r w:rsidR="002E0799" w:rsidRPr="002E0799">
        <w:rPr>
          <w:rFonts w:ascii="Times New Roman" w:eastAsia="Times New Roman" w:hAnsi="Times New Roman" w:cs="Times New Roman"/>
          <w:sz w:val="24"/>
          <w:szCs w:val="20"/>
          <w:lang w:eastAsia="es-ES"/>
        </w:rPr>
        <w:t>desperfectos en el techo de</w:t>
      </w:r>
      <w:r w:rsidR="00E760A4">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l</w:t>
      </w:r>
      <w:r w:rsidR="00E760A4">
        <w:rPr>
          <w:rFonts w:ascii="Times New Roman" w:eastAsia="Times New Roman" w:hAnsi="Times New Roman" w:cs="Times New Roman"/>
          <w:sz w:val="24"/>
          <w:szCs w:val="20"/>
          <w:lang w:eastAsia="es-ES"/>
        </w:rPr>
        <w:t>a edificación. En la tramitación del expediente se concluyó que concurría causa para iniciar el procedimiento de declaración de ruina, sin perjuicio de que deba tramitarse la correspondiente orden de ejecución, con el fin de evitar situación de peligro para terceros.</w:t>
      </w:r>
    </w:p>
    <w:p w:rsidR="00E760A4" w:rsidRDefault="00E760A4" w:rsidP="00E760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Desestimado el recurso de reposición, la interposición del recurso contencioso-administrativo se fundó en los argumentos siguientes:</w:t>
      </w:r>
    </w:p>
    <w:p w:rsidR="002E0799" w:rsidRPr="002E0799" w:rsidRDefault="00E760A4" w:rsidP="00E760A4">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1. Falta de competencia de </w:t>
      </w:r>
      <w:r w:rsidR="002E0799" w:rsidRPr="002E0799">
        <w:rPr>
          <w:rFonts w:ascii="Times New Roman" w:eastAsia="Times New Roman" w:hAnsi="Times New Roman" w:cs="Times New Roman"/>
          <w:sz w:val="24"/>
          <w:szCs w:val="20"/>
          <w:lang w:eastAsia="es-ES"/>
        </w:rPr>
        <w:t>la arquitecta técnica municipal</w:t>
      </w:r>
      <w:r w:rsidR="00EA752D">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para la emisión del informe técnico que sirve de base para la orden de ejecución</w:t>
      </w:r>
      <w:r>
        <w:rPr>
          <w:rFonts w:ascii="Times New Roman" w:eastAsia="Times New Roman" w:hAnsi="Times New Roman" w:cs="Times New Roman"/>
          <w:sz w:val="24"/>
          <w:szCs w:val="20"/>
          <w:lang w:eastAsia="es-ES"/>
        </w:rPr>
        <w:t>, que la sentencia desestima porque dicho informe e</w:t>
      </w:r>
      <w:r w:rsidR="002E0799" w:rsidRPr="002E0799">
        <w:rPr>
          <w:rFonts w:ascii="Times New Roman" w:eastAsia="Times New Roman" w:hAnsi="Times New Roman" w:cs="Times New Roman"/>
          <w:sz w:val="24"/>
          <w:szCs w:val="20"/>
          <w:lang w:eastAsia="es-ES"/>
        </w:rPr>
        <w:t>stablece las condiciones</w:t>
      </w:r>
      <w:r w:rsidR="00EA752D">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mínimas a las que debe ajustarse el proyecto y valora incluso los costes de la redacción de un proyecto por</w:t>
      </w:r>
      <w:r w:rsidR="00EA752D">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un profesional </w:t>
      </w:r>
      <w:r>
        <w:rPr>
          <w:rFonts w:ascii="Times New Roman" w:eastAsia="Times New Roman" w:hAnsi="Times New Roman" w:cs="Times New Roman"/>
          <w:sz w:val="24"/>
          <w:szCs w:val="20"/>
          <w:lang w:eastAsia="es-ES"/>
        </w:rPr>
        <w:t>y, en consecuencia,</w:t>
      </w:r>
      <w:r w:rsidR="002E0799" w:rsidRPr="002E0799">
        <w:rPr>
          <w:rFonts w:ascii="Times New Roman" w:eastAsia="Times New Roman" w:hAnsi="Times New Roman" w:cs="Times New Roman"/>
          <w:sz w:val="24"/>
          <w:szCs w:val="20"/>
          <w:lang w:eastAsia="es-ES"/>
        </w:rPr>
        <w:t xml:space="preserve"> no trata de suplir el proyecto técnico</w:t>
      </w:r>
      <w:r>
        <w:rPr>
          <w:rFonts w:ascii="Times New Roman" w:eastAsia="Times New Roman" w:hAnsi="Times New Roman" w:cs="Times New Roman"/>
          <w:sz w:val="24"/>
          <w:szCs w:val="20"/>
          <w:lang w:eastAsia="es-ES"/>
        </w:rPr>
        <w:t>. La</w:t>
      </w:r>
      <w:r w:rsidR="002E0799" w:rsidRPr="002E0799">
        <w:rPr>
          <w:rFonts w:ascii="Times New Roman" w:eastAsia="Times New Roman" w:hAnsi="Times New Roman" w:cs="Times New Roman"/>
          <w:sz w:val="24"/>
          <w:szCs w:val="20"/>
          <w:lang w:eastAsia="es-ES"/>
        </w:rPr>
        <w:t xml:space="preserve"> arquitecta técnica tiene</w:t>
      </w:r>
      <w:r w:rsidR="00EA752D">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competencia para informar sobre la situación y estado de conservación del edificio y determinar las obras para</w:t>
      </w:r>
      <w:r w:rsidR="00EA752D">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mantenerlos en las condiciones adecuadas.</w:t>
      </w:r>
    </w:p>
    <w:p w:rsidR="00B96E9D" w:rsidRDefault="00B96E9D"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2.</w:t>
      </w:r>
      <w:r w:rsidR="002E0799" w:rsidRPr="002E0799">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 xml:space="preserve">Concurrencia de causa de declaración de ruina del edificio, que la arquitecta municipal niega, pero el </w:t>
      </w:r>
      <w:r w:rsidR="002E0799" w:rsidRPr="002E0799">
        <w:rPr>
          <w:rFonts w:ascii="Times New Roman" w:eastAsia="Times New Roman" w:hAnsi="Times New Roman" w:cs="Times New Roman"/>
          <w:sz w:val="24"/>
          <w:szCs w:val="20"/>
          <w:lang w:eastAsia="es-ES"/>
        </w:rPr>
        <w:t xml:space="preserve">perito de designación judicial sí </w:t>
      </w:r>
      <w:r>
        <w:rPr>
          <w:rFonts w:ascii="Times New Roman" w:eastAsia="Times New Roman" w:hAnsi="Times New Roman" w:cs="Times New Roman"/>
          <w:sz w:val="24"/>
          <w:szCs w:val="20"/>
          <w:lang w:eastAsia="es-ES"/>
        </w:rPr>
        <w:t xml:space="preserve">afirma la concurrencia, en aplicación del </w:t>
      </w:r>
      <w:r w:rsidR="002E0799" w:rsidRPr="002E0799">
        <w:rPr>
          <w:rFonts w:ascii="Times New Roman" w:eastAsia="Times New Roman" w:hAnsi="Times New Roman" w:cs="Times New Roman"/>
          <w:sz w:val="24"/>
          <w:szCs w:val="20"/>
          <w:lang w:eastAsia="es-ES"/>
        </w:rPr>
        <w:t>art</w:t>
      </w:r>
      <w:r>
        <w:rPr>
          <w:rFonts w:ascii="Times New Roman" w:eastAsia="Times New Roman" w:hAnsi="Times New Roman" w:cs="Times New Roman"/>
          <w:sz w:val="24"/>
          <w:szCs w:val="20"/>
          <w:lang w:eastAsia="es-ES"/>
        </w:rPr>
        <w:t>.</w:t>
      </w:r>
      <w:r w:rsidR="002E0799" w:rsidRPr="002E0799">
        <w:rPr>
          <w:rFonts w:ascii="Times New Roman" w:eastAsia="Times New Roman" w:hAnsi="Times New Roman" w:cs="Times New Roman"/>
          <w:sz w:val="24"/>
          <w:szCs w:val="20"/>
          <w:lang w:eastAsia="es-ES"/>
        </w:rPr>
        <w:t xml:space="preserve"> 261.2</w:t>
      </w:r>
      <w:r>
        <w:rPr>
          <w:rFonts w:ascii="Times New Roman" w:eastAsia="Times New Roman" w:hAnsi="Times New Roman" w:cs="Times New Roman"/>
          <w:sz w:val="24"/>
          <w:szCs w:val="20"/>
          <w:lang w:eastAsia="es-ES"/>
        </w:rPr>
        <w:t xml:space="preserve">.a) del TRLUA, porque las obras ordenadas con cargo a los propietarios estarán </w:t>
      </w:r>
      <w:r w:rsidR="002E0799" w:rsidRPr="002E0799">
        <w:rPr>
          <w:rFonts w:ascii="Times New Roman" w:eastAsia="Times New Roman" w:hAnsi="Times New Roman" w:cs="Times New Roman"/>
          <w:sz w:val="24"/>
          <w:szCs w:val="20"/>
          <w:lang w:eastAsia="es-ES"/>
        </w:rPr>
        <w:t>siempre dentro de los límites del deber de conservación del edificio</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el 50% del valor de un edificio o construcción de nueva planta con similares características e igual superficie</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útil que la existente, excluido el valor del suelo)</w:t>
      </w:r>
      <w:r>
        <w:rPr>
          <w:rFonts w:ascii="Times New Roman" w:eastAsia="Times New Roman" w:hAnsi="Times New Roman" w:cs="Times New Roman"/>
          <w:sz w:val="24"/>
          <w:szCs w:val="20"/>
          <w:lang w:eastAsia="es-ES"/>
        </w:rPr>
        <w:t>.</w:t>
      </w:r>
    </w:p>
    <w:p w:rsidR="00155EE3" w:rsidRDefault="00B96E9D"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edificio tiene unas características especiales, es de interés arquitectónico y se encuentra en mal estado. Está incluido en el </w:t>
      </w:r>
      <w:r w:rsidR="002E0799" w:rsidRPr="002E0799">
        <w:rPr>
          <w:rFonts w:ascii="Times New Roman" w:eastAsia="Times New Roman" w:hAnsi="Times New Roman" w:cs="Times New Roman"/>
          <w:sz w:val="24"/>
          <w:szCs w:val="20"/>
          <w:lang w:eastAsia="es-ES"/>
        </w:rPr>
        <w:t xml:space="preserve">Catálogo de Bienes Culturales, </w:t>
      </w:r>
      <w:r>
        <w:rPr>
          <w:rFonts w:ascii="Times New Roman" w:eastAsia="Times New Roman" w:hAnsi="Times New Roman" w:cs="Times New Roman"/>
          <w:sz w:val="24"/>
          <w:szCs w:val="20"/>
          <w:lang w:eastAsia="es-ES"/>
        </w:rPr>
        <w:t xml:space="preserve">dentro del Suelo no Urbanizable, del Texto Refundido del PGOU de La Almunia de doña Godina </w:t>
      </w:r>
      <w:r w:rsidR="002E0799" w:rsidRPr="002E0799">
        <w:rPr>
          <w:rFonts w:ascii="Times New Roman" w:eastAsia="Times New Roman" w:hAnsi="Times New Roman" w:cs="Times New Roman"/>
          <w:sz w:val="24"/>
          <w:szCs w:val="20"/>
          <w:lang w:eastAsia="es-ES"/>
        </w:rPr>
        <w:t>(artículo 4.23 de las N</w:t>
      </w:r>
      <w:r>
        <w:rPr>
          <w:rFonts w:ascii="Times New Roman" w:eastAsia="Times New Roman" w:hAnsi="Times New Roman" w:cs="Times New Roman"/>
          <w:sz w:val="24"/>
          <w:szCs w:val="20"/>
          <w:lang w:eastAsia="es-ES"/>
        </w:rPr>
        <w:t>N UU)</w:t>
      </w:r>
      <w:r w:rsidR="002E0799" w:rsidRPr="002E0799">
        <w:rPr>
          <w:rFonts w:ascii="Times New Roman" w:eastAsia="Times New Roman" w:hAnsi="Times New Roman" w:cs="Times New Roman"/>
          <w:sz w:val="24"/>
          <w:szCs w:val="20"/>
          <w:lang w:eastAsia="es-ES"/>
        </w:rPr>
        <w:t>, y se describe: "</w:t>
      </w:r>
      <w:r w:rsidR="002E0799" w:rsidRPr="00B96E9D">
        <w:rPr>
          <w:rFonts w:ascii="Times New Roman" w:eastAsia="Times New Roman" w:hAnsi="Times New Roman" w:cs="Times New Roman"/>
          <w:i/>
          <w:sz w:val="24"/>
          <w:szCs w:val="20"/>
          <w:lang w:eastAsia="es-ES"/>
        </w:rPr>
        <w:t xml:space="preserve">curiosa edificación del siglo XVIII del </w:t>
      </w:r>
      <w:r w:rsidRPr="00B96E9D">
        <w:rPr>
          <w:rFonts w:ascii="Times New Roman" w:eastAsia="Times New Roman" w:hAnsi="Times New Roman" w:cs="Times New Roman"/>
          <w:i/>
          <w:sz w:val="24"/>
          <w:szCs w:val="20"/>
          <w:lang w:eastAsia="es-ES"/>
        </w:rPr>
        <w:t>más</w:t>
      </w:r>
      <w:r w:rsidR="002E0799" w:rsidRPr="00B96E9D">
        <w:rPr>
          <w:rFonts w:ascii="Times New Roman" w:eastAsia="Times New Roman" w:hAnsi="Times New Roman" w:cs="Times New Roman"/>
          <w:i/>
          <w:sz w:val="24"/>
          <w:szCs w:val="20"/>
          <w:lang w:eastAsia="es-ES"/>
        </w:rPr>
        <w:t xml:space="preserve"> puro estilo Neoclásico, con acceso en</w:t>
      </w:r>
      <w:r w:rsidRPr="00B96E9D">
        <w:rPr>
          <w:rFonts w:ascii="Times New Roman" w:eastAsia="Times New Roman" w:hAnsi="Times New Roman" w:cs="Times New Roman"/>
          <w:i/>
          <w:sz w:val="24"/>
          <w:szCs w:val="20"/>
          <w:lang w:eastAsia="es-ES"/>
        </w:rPr>
        <w:t xml:space="preserve"> </w:t>
      </w:r>
      <w:r w:rsidR="002E0799" w:rsidRPr="00B96E9D">
        <w:rPr>
          <w:rFonts w:ascii="Times New Roman" w:eastAsia="Times New Roman" w:hAnsi="Times New Roman" w:cs="Times New Roman"/>
          <w:i/>
          <w:sz w:val="24"/>
          <w:szCs w:val="20"/>
          <w:lang w:eastAsia="es-ES"/>
        </w:rPr>
        <w:t>atrio con columnas dóricas y proporciones clásicas con dinteles decorados en sus huecos</w:t>
      </w:r>
      <w:r w:rsidR="002E0799" w:rsidRPr="002E0799">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 xml:space="preserve">Este grado de protección es un nivel intermedio </w:t>
      </w:r>
      <w:r>
        <w:rPr>
          <w:rFonts w:ascii="Times New Roman" w:eastAsia="Times New Roman" w:hAnsi="Times New Roman" w:cs="Times New Roman"/>
          <w:sz w:val="24"/>
          <w:szCs w:val="20"/>
          <w:lang w:eastAsia="es-ES"/>
        </w:rPr>
        <w:lastRenderedPageBreak/>
        <w:t>que se corresponde con los edificios con un “</w:t>
      </w:r>
      <w:r w:rsidRPr="00B96E9D">
        <w:rPr>
          <w:rFonts w:ascii="Times New Roman" w:eastAsia="Times New Roman" w:hAnsi="Times New Roman" w:cs="Times New Roman"/>
          <w:i/>
          <w:sz w:val="24"/>
          <w:szCs w:val="20"/>
          <w:lang w:eastAsia="es-ES"/>
        </w:rPr>
        <w:t xml:space="preserve">notable </w:t>
      </w:r>
      <w:r w:rsidR="002E0799" w:rsidRPr="00B96E9D">
        <w:rPr>
          <w:rFonts w:ascii="Times New Roman" w:eastAsia="Times New Roman" w:hAnsi="Times New Roman" w:cs="Times New Roman"/>
          <w:i/>
          <w:sz w:val="24"/>
          <w:szCs w:val="20"/>
          <w:lang w:eastAsia="es-ES"/>
        </w:rPr>
        <w:t>valor tipológico, constructivo,</w:t>
      </w:r>
      <w:r w:rsidRPr="00B96E9D">
        <w:rPr>
          <w:rFonts w:ascii="Times New Roman" w:eastAsia="Times New Roman" w:hAnsi="Times New Roman" w:cs="Times New Roman"/>
          <w:i/>
          <w:sz w:val="24"/>
          <w:szCs w:val="20"/>
          <w:lang w:eastAsia="es-ES"/>
        </w:rPr>
        <w:t xml:space="preserve"> </w:t>
      </w:r>
      <w:r w:rsidR="002E0799" w:rsidRPr="00B96E9D">
        <w:rPr>
          <w:rFonts w:ascii="Times New Roman" w:eastAsia="Times New Roman" w:hAnsi="Times New Roman" w:cs="Times New Roman"/>
          <w:i/>
          <w:sz w:val="24"/>
          <w:szCs w:val="20"/>
          <w:lang w:eastAsia="es-ES"/>
        </w:rPr>
        <w:t>formal o estilístico como elementos representativos de los modos de construcción, distribución, composición</w:t>
      </w:r>
      <w:r w:rsidRPr="00B96E9D">
        <w:rPr>
          <w:rFonts w:ascii="Times New Roman" w:eastAsia="Times New Roman" w:hAnsi="Times New Roman" w:cs="Times New Roman"/>
          <w:i/>
          <w:sz w:val="24"/>
          <w:szCs w:val="20"/>
          <w:lang w:eastAsia="es-ES"/>
        </w:rPr>
        <w:t xml:space="preserve"> </w:t>
      </w:r>
      <w:r w:rsidR="002E0799" w:rsidRPr="00B96E9D">
        <w:rPr>
          <w:rFonts w:ascii="Times New Roman" w:eastAsia="Times New Roman" w:hAnsi="Times New Roman" w:cs="Times New Roman"/>
          <w:i/>
          <w:sz w:val="24"/>
          <w:szCs w:val="20"/>
          <w:lang w:eastAsia="es-ES"/>
        </w:rPr>
        <w:t>y ornamentación de determinados periodos históricos".</w:t>
      </w:r>
      <w:r w:rsidR="00155EE3">
        <w:rPr>
          <w:rFonts w:ascii="Times New Roman" w:eastAsia="Times New Roman" w:hAnsi="Times New Roman" w:cs="Times New Roman"/>
          <w:i/>
          <w:sz w:val="24"/>
          <w:szCs w:val="20"/>
          <w:lang w:eastAsia="es-ES"/>
        </w:rPr>
        <w:t xml:space="preserve"> </w:t>
      </w:r>
      <w:r w:rsidR="00155EE3">
        <w:rPr>
          <w:rFonts w:ascii="Times New Roman" w:eastAsia="Times New Roman" w:hAnsi="Times New Roman" w:cs="Times New Roman"/>
          <w:sz w:val="24"/>
          <w:szCs w:val="20"/>
          <w:lang w:eastAsia="es-ES"/>
        </w:rPr>
        <w:t>Pese a ello, s</w:t>
      </w:r>
      <w:r w:rsidR="002E0799" w:rsidRPr="002E0799">
        <w:rPr>
          <w:rFonts w:ascii="Times New Roman" w:eastAsia="Times New Roman" w:hAnsi="Times New Roman" w:cs="Times New Roman"/>
          <w:sz w:val="24"/>
          <w:szCs w:val="20"/>
          <w:lang w:eastAsia="es-ES"/>
        </w:rPr>
        <w:t>e trata de una edificación que ha estado desocupada, y se ap</w:t>
      </w:r>
      <w:r w:rsidR="00155EE3">
        <w:rPr>
          <w:rFonts w:ascii="Times New Roman" w:eastAsia="Times New Roman" w:hAnsi="Times New Roman" w:cs="Times New Roman"/>
          <w:sz w:val="24"/>
          <w:szCs w:val="20"/>
          <w:lang w:eastAsia="es-ES"/>
        </w:rPr>
        <w:t xml:space="preserve">recia un estado de dejadez en su </w:t>
      </w:r>
      <w:r w:rsidR="002E0799" w:rsidRPr="002E0799">
        <w:rPr>
          <w:rFonts w:ascii="Times New Roman" w:eastAsia="Times New Roman" w:hAnsi="Times New Roman" w:cs="Times New Roman"/>
          <w:sz w:val="24"/>
          <w:szCs w:val="20"/>
          <w:lang w:eastAsia="es-ES"/>
        </w:rPr>
        <w:t>mantenimiento.</w:t>
      </w:r>
    </w:p>
    <w:p w:rsidR="002E0799" w:rsidRPr="00155EE3" w:rsidRDefault="002E0799" w:rsidP="002E079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2E0799">
        <w:rPr>
          <w:rFonts w:ascii="Times New Roman" w:eastAsia="Times New Roman" w:hAnsi="Times New Roman" w:cs="Times New Roman"/>
          <w:sz w:val="24"/>
          <w:szCs w:val="20"/>
          <w:lang w:eastAsia="es-ES"/>
        </w:rPr>
        <w:t>El perito</w:t>
      </w:r>
      <w:r w:rsidR="00155EE3">
        <w:rPr>
          <w:rFonts w:ascii="Times New Roman" w:eastAsia="Times New Roman" w:hAnsi="Times New Roman" w:cs="Times New Roman"/>
          <w:sz w:val="24"/>
          <w:szCs w:val="20"/>
          <w:lang w:eastAsia="es-ES"/>
        </w:rPr>
        <w:t xml:space="preserve"> judicial</w:t>
      </w:r>
      <w:r w:rsidRPr="002E0799">
        <w:rPr>
          <w:rFonts w:ascii="Times New Roman" w:eastAsia="Times New Roman" w:hAnsi="Times New Roman" w:cs="Times New Roman"/>
          <w:sz w:val="24"/>
          <w:szCs w:val="20"/>
          <w:lang w:eastAsia="es-ES"/>
        </w:rPr>
        <w:t xml:space="preserve"> inform</w:t>
      </w:r>
      <w:r w:rsidR="00155EE3">
        <w:rPr>
          <w:rFonts w:ascii="Times New Roman" w:eastAsia="Times New Roman" w:hAnsi="Times New Roman" w:cs="Times New Roman"/>
          <w:sz w:val="24"/>
          <w:szCs w:val="20"/>
          <w:lang w:eastAsia="es-ES"/>
        </w:rPr>
        <w:t>a</w:t>
      </w:r>
      <w:r w:rsidRPr="002E0799">
        <w:rPr>
          <w:rFonts w:ascii="Times New Roman" w:eastAsia="Times New Roman" w:hAnsi="Times New Roman" w:cs="Times New Roman"/>
          <w:sz w:val="24"/>
          <w:szCs w:val="20"/>
          <w:lang w:eastAsia="es-ES"/>
        </w:rPr>
        <w:t xml:space="preserve"> que el edificio se encuentra en un estado deficiente en cuanto la estabilidad de</w:t>
      </w:r>
      <w:r w:rsidR="00155EE3">
        <w:rPr>
          <w:rFonts w:ascii="Times New Roman" w:eastAsia="Times New Roman" w:hAnsi="Times New Roman" w:cs="Times New Roman"/>
          <w:sz w:val="24"/>
          <w:szCs w:val="20"/>
          <w:lang w:eastAsia="es-ES"/>
        </w:rPr>
        <w:t xml:space="preserve"> </w:t>
      </w:r>
      <w:r w:rsidRPr="002E0799">
        <w:rPr>
          <w:rFonts w:ascii="Times New Roman" w:eastAsia="Times New Roman" w:hAnsi="Times New Roman" w:cs="Times New Roman"/>
          <w:sz w:val="24"/>
          <w:szCs w:val="20"/>
          <w:lang w:eastAsia="es-ES"/>
        </w:rPr>
        <w:t>algunos de sus elementos estructurales y no reúne las condiciones mínimas de habitabilidad y salubridad.</w:t>
      </w:r>
      <w:r w:rsidR="00155EE3">
        <w:rPr>
          <w:rFonts w:ascii="Times New Roman" w:eastAsia="Times New Roman" w:hAnsi="Times New Roman" w:cs="Times New Roman"/>
          <w:sz w:val="24"/>
          <w:szCs w:val="20"/>
          <w:lang w:eastAsia="es-ES"/>
        </w:rPr>
        <w:t xml:space="preserve"> Añade que “</w:t>
      </w:r>
      <w:r w:rsidR="00155EE3" w:rsidRPr="00155EE3">
        <w:rPr>
          <w:rFonts w:ascii="Times New Roman" w:eastAsia="Times New Roman" w:hAnsi="Times New Roman" w:cs="Times New Roman"/>
          <w:i/>
          <w:sz w:val="24"/>
          <w:szCs w:val="20"/>
          <w:lang w:eastAsia="es-ES"/>
        </w:rPr>
        <w:t>s</w:t>
      </w:r>
      <w:r w:rsidRPr="00155EE3">
        <w:rPr>
          <w:rFonts w:ascii="Times New Roman" w:eastAsia="Times New Roman" w:hAnsi="Times New Roman" w:cs="Times New Roman"/>
          <w:i/>
          <w:sz w:val="24"/>
          <w:szCs w:val="20"/>
          <w:lang w:eastAsia="es-ES"/>
        </w:rPr>
        <w:t>egún los valores a proteger, estaríamos en el supuesto c) donde la parte</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del edificio a proteger sería la fachada (incluida la decoración con dintel del hueco de acceso) donde las</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 xml:space="preserve">obras permitidas </w:t>
      </w:r>
      <w:r w:rsidR="00155EE3" w:rsidRPr="00155EE3">
        <w:rPr>
          <w:rFonts w:ascii="Times New Roman" w:eastAsia="Times New Roman" w:hAnsi="Times New Roman" w:cs="Times New Roman"/>
          <w:i/>
          <w:sz w:val="24"/>
          <w:szCs w:val="20"/>
          <w:lang w:eastAsia="es-ES"/>
        </w:rPr>
        <w:t>serían</w:t>
      </w:r>
      <w:r w:rsidRPr="00155EE3">
        <w:rPr>
          <w:rFonts w:ascii="Times New Roman" w:eastAsia="Times New Roman" w:hAnsi="Times New Roman" w:cs="Times New Roman"/>
          <w:i/>
          <w:sz w:val="24"/>
          <w:szCs w:val="20"/>
          <w:lang w:eastAsia="es-ES"/>
        </w:rPr>
        <w:t xml:space="preserve"> las de restauración de la fachada con proyecto del conjunto. Para dicha restauración</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se deberán cumplir todas las condiciones de intervención que afectan a la edificación, especialmente el</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punto 5, es decir, se mantendrá una relación adecuada entre la nueva obra y la fachada conservada, lo que</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exigirá, además de las condiciones que en cada caso pueda imponer, motivadamente, la Comisión municipal</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de Patrimonio Histórico- Artístico: reconstrucción de los forjados en las mismas cotas, reconstrucción del</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faldón de la cubierta vertiente hacia la fachada con la misma cota de alero que tuviera la solución original, y</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compartimentación interior que en sus encuentros con la fachada se adecue a la distribución de sus vanos,</w:t>
      </w:r>
      <w:r w:rsidR="00155EE3" w:rsidRPr="00155EE3">
        <w:rPr>
          <w:rFonts w:ascii="Times New Roman" w:eastAsia="Times New Roman" w:hAnsi="Times New Roman" w:cs="Times New Roman"/>
          <w:i/>
          <w:sz w:val="24"/>
          <w:szCs w:val="20"/>
          <w:lang w:eastAsia="es-ES"/>
        </w:rPr>
        <w:t xml:space="preserve"> </w:t>
      </w:r>
      <w:r w:rsidRPr="00155EE3">
        <w:rPr>
          <w:rFonts w:ascii="Times New Roman" w:eastAsia="Times New Roman" w:hAnsi="Times New Roman" w:cs="Times New Roman"/>
          <w:i/>
          <w:sz w:val="24"/>
          <w:szCs w:val="20"/>
          <w:lang w:eastAsia="es-ES"/>
        </w:rPr>
        <w:t>todo ello en los términos especificó que marca dicho punto</w:t>
      </w:r>
      <w:r w:rsidR="00155EE3" w:rsidRPr="00155EE3">
        <w:rPr>
          <w:rFonts w:ascii="Times New Roman" w:eastAsia="Times New Roman" w:hAnsi="Times New Roman" w:cs="Times New Roman"/>
          <w:i/>
          <w:sz w:val="24"/>
          <w:szCs w:val="20"/>
          <w:lang w:eastAsia="es-ES"/>
        </w:rPr>
        <w:t>”</w:t>
      </w:r>
      <w:r w:rsidRPr="00155EE3">
        <w:rPr>
          <w:rFonts w:ascii="Times New Roman" w:eastAsia="Times New Roman" w:hAnsi="Times New Roman" w:cs="Times New Roman"/>
          <w:i/>
          <w:sz w:val="24"/>
          <w:szCs w:val="20"/>
          <w:lang w:eastAsia="es-ES"/>
        </w:rPr>
        <w:t>.</w:t>
      </w:r>
    </w:p>
    <w:p w:rsidR="00155EE3" w:rsidRDefault="00155EE3"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Una vez determinado el estado y características del inmueble, la sentencia remite al art. 245 TRLUA regulador del deber de conservación; circunstancia ésta que cuestiona la part</w:t>
      </w:r>
      <w:r w:rsidR="002E0799" w:rsidRPr="002E0799">
        <w:rPr>
          <w:rFonts w:ascii="Times New Roman" w:eastAsia="Times New Roman" w:hAnsi="Times New Roman" w:cs="Times New Roman"/>
          <w:sz w:val="24"/>
          <w:szCs w:val="20"/>
          <w:lang w:eastAsia="es-ES"/>
        </w:rPr>
        <w:t xml:space="preserve">e recurrente por cuanto </w:t>
      </w:r>
      <w:r>
        <w:rPr>
          <w:rFonts w:ascii="Times New Roman" w:eastAsia="Times New Roman" w:hAnsi="Times New Roman" w:cs="Times New Roman"/>
          <w:sz w:val="24"/>
          <w:szCs w:val="20"/>
          <w:lang w:eastAsia="es-ES"/>
        </w:rPr>
        <w:t>las obras objeto de la orden de intervención superan</w:t>
      </w:r>
      <w:r w:rsidR="002E0799" w:rsidRPr="002E0799">
        <w:rPr>
          <w:rFonts w:ascii="Times New Roman" w:eastAsia="Times New Roman" w:hAnsi="Times New Roman" w:cs="Times New Roman"/>
          <w:sz w:val="24"/>
          <w:szCs w:val="20"/>
          <w:lang w:eastAsia="es-ES"/>
        </w:rPr>
        <w:t xml:space="preserve"> el límite legal del deber de conservación de los propietarios. </w:t>
      </w:r>
    </w:p>
    <w:p w:rsidR="00155EE3" w:rsidRDefault="00155EE3"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La sentencia reconoce que el coste de las obras apuntado por la propiedad no está justificado y que el PG no permite la demolición de los </w:t>
      </w:r>
      <w:r w:rsidR="002E0799" w:rsidRPr="002E0799">
        <w:rPr>
          <w:rFonts w:ascii="Times New Roman" w:eastAsia="Times New Roman" w:hAnsi="Times New Roman" w:cs="Times New Roman"/>
          <w:sz w:val="24"/>
          <w:szCs w:val="20"/>
          <w:lang w:eastAsia="es-ES"/>
        </w:rPr>
        <w:t>edificios que cuenten con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un interés arquitectónico</w:t>
      </w:r>
      <w:r>
        <w:rPr>
          <w:rFonts w:ascii="Times New Roman" w:eastAsia="Times New Roman" w:hAnsi="Times New Roman" w:cs="Times New Roman"/>
          <w:sz w:val="24"/>
          <w:szCs w:val="20"/>
          <w:lang w:eastAsia="es-ES"/>
        </w:rPr>
        <w:t>,</w:t>
      </w:r>
      <w:r w:rsidR="002E0799" w:rsidRPr="002E0799">
        <w:rPr>
          <w:rFonts w:ascii="Times New Roman" w:eastAsia="Times New Roman" w:hAnsi="Times New Roman" w:cs="Times New Roman"/>
          <w:sz w:val="24"/>
          <w:szCs w:val="20"/>
          <w:lang w:eastAsia="es-ES"/>
        </w:rPr>
        <w:t xml:space="preserve"> sino únicamente la rehabilitación.</w:t>
      </w:r>
    </w:p>
    <w:p w:rsidR="00155EE3" w:rsidRDefault="00155EE3"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recurso contencioso administrativo fue desestimado.</w:t>
      </w:r>
    </w:p>
    <w:p w:rsidR="00155EE3" w:rsidRDefault="002E079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E0799">
        <w:rPr>
          <w:rFonts w:ascii="Times New Roman" w:eastAsia="Times New Roman" w:hAnsi="Times New Roman" w:cs="Times New Roman"/>
          <w:sz w:val="24"/>
          <w:szCs w:val="20"/>
          <w:lang w:eastAsia="es-ES"/>
        </w:rPr>
        <w:t>C</w:t>
      </w:r>
      <w:r w:rsidR="00155EE3">
        <w:rPr>
          <w:rFonts w:ascii="Times New Roman" w:eastAsia="Times New Roman" w:hAnsi="Times New Roman" w:cs="Times New Roman"/>
          <w:sz w:val="24"/>
          <w:szCs w:val="20"/>
          <w:lang w:eastAsia="es-ES"/>
        </w:rPr>
        <w:t>ontra la sentencia de instancia se interpuso recurso de apelación fundada en los argumentos siguientes:</w:t>
      </w:r>
    </w:p>
    <w:p w:rsidR="000F6CDB" w:rsidRPr="002E0799" w:rsidRDefault="002E0799" w:rsidP="000F6CDB">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sidRPr="002E0799">
        <w:rPr>
          <w:rFonts w:ascii="Times New Roman" w:eastAsia="Times New Roman" w:hAnsi="Times New Roman" w:cs="Times New Roman"/>
          <w:sz w:val="24"/>
          <w:szCs w:val="20"/>
          <w:lang w:eastAsia="es-ES"/>
        </w:rPr>
        <w:lastRenderedPageBreak/>
        <w:t>1</w:t>
      </w:r>
      <w:r w:rsidR="00155EE3">
        <w:rPr>
          <w:rFonts w:ascii="Times New Roman" w:eastAsia="Times New Roman" w:hAnsi="Times New Roman" w:cs="Times New Roman"/>
          <w:sz w:val="24"/>
          <w:szCs w:val="20"/>
          <w:lang w:eastAsia="es-ES"/>
        </w:rPr>
        <w:t>.</w:t>
      </w:r>
      <w:r w:rsidRPr="002E0799">
        <w:rPr>
          <w:rFonts w:ascii="Times New Roman" w:eastAsia="Times New Roman" w:hAnsi="Times New Roman" w:cs="Times New Roman"/>
          <w:sz w:val="24"/>
          <w:szCs w:val="20"/>
          <w:lang w:eastAsia="es-ES"/>
        </w:rPr>
        <w:t xml:space="preserve"> </w:t>
      </w:r>
      <w:r w:rsidR="000F6CDB" w:rsidRPr="002E0799">
        <w:rPr>
          <w:rFonts w:ascii="Times New Roman" w:eastAsia="Times New Roman" w:hAnsi="Times New Roman" w:cs="Times New Roman"/>
          <w:sz w:val="24"/>
          <w:szCs w:val="20"/>
          <w:lang w:eastAsia="es-ES"/>
        </w:rPr>
        <w:t>Protección inferior al de inmuebles de carácter monumental, que puede ser global,</w:t>
      </w:r>
      <w:r w:rsidR="000F6CDB">
        <w:rPr>
          <w:rFonts w:ascii="Times New Roman" w:eastAsia="Times New Roman" w:hAnsi="Times New Roman" w:cs="Times New Roman"/>
          <w:sz w:val="24"/>
          <w:szCs w:val="20"/>
          <w:lang w:eastAsia="es-ES"/>
        </w:rPr>
        <w:t xml:space="preserve"> </w:t>
      </w:r>
      <w:r w:rsidR="000F6CDB" w:rsidRPr="002E0799">
        <w:rPr>
          <w:rFonts w:ascii="Times New Roman" w:eastAsia="Times New Roman" w:hAnsi="Times New Roman" w:cs="Times New Roman"/>
          <w:sz w:val="24"/>
          <w:szCs w:val="20"/>
          <w:lang w:eastAsia="es-ES"/>
        </w:rPr>
        <w:t>o parcial, afectando a algunos de sus elementos, como fachada u ornamentación y en el que no se concreta</w:t>
      </w:r>
      <w:r w:rsidR="000F6CDB">
        <w:rPr>
          <w:rFonts w:ascii="Times New Roman" w:eastAsia="Times New Roman" w:hAnsi="Times New Roman" w:cs="Times New Roman"/>
          <w:sz w:val="24"/>
          <w:szCs w:val="20"/>
          <w:lang w:eastAsia="es-ES"/>
        </w:rPr>
        <w:t xml:space="preserve"> </w:t>
      </w:r>
      <w:r w:rsidR="000F6CDB" w:rsidRPr="002E0799">
        <w:rPr>
          <w:rFonts w:ascii="Times New Roman" w:eastAsia="Times New Roman" w:hAnsi="Times New Roman" w:cs="Times New Roman"/>
          <w:sz w:val="24"/>
          <w:szCs w:val="20"/>
          <w:lang w:eastAsia="es-ES"/>
        </w:rPr>
        <w:t>qué es lo que se debe proteger y en qué medida.</w:t>
      </w:r>
    </w:p>
    <w:p w:rsidR="000F6CDB"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2.</w:t>
      </w:r>
      <w:r w:rsidR="002E0799" w:rsidRPr="002E0799">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Falta de competencia de</w:t>
      </w:r>
      <w:r w:rsidR="002E0799" w:rsidRPr="002E0799">
        <w:rPr>
          <w:rFonts w:ascii="Times New Roman" w:eastAsia="Times New Roman" w:hAnsi="Times New Roman" w:cs="Times New Roman"/>
          <w:sz w:val="24"/>
          <w:szCs w:val="20"/>
          <w:lang w:eastAsia="es-ES"/>
        </w:rPr>
        <w:t xml:space="preserve"> la arquitecta técnica municipal </w:t>
      </w:r>
      <w:r>
        <w:rPr>
          <w:rFonts w:ascii="Times New Roman" w:eastAsia="Times New Roman" w:hAnsi="Times New Roman" w:cs="Times New Roman"/>
          <w:sz w:val="24"/>
          <w:szCs w:val="20"/>
          <w:lang w:eastAsia="es-ES"/>
        </w:rPr>
        <w:t>para informar.</w:t>
      </w:r>
    </w:p>
    <w:p w:rsidR="002E0799"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3. Concurrencia de causas objetivas de ruina económica.</w:t>
      </w:r>
    </w:p>
    <w:p w:rsidR="002E0799" w:rsidRPr="002E0799"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4. En</w:t>
      </w:r>
      <w:r w:rsidR="002E0799" w:rsidRPr="000F6CDB">
        <w:rPr>
          <w:rFonts w:ascii="Times New Roman" w:eastAsia="Times New Roman" w:hAnsi="Times New Roman" w:cs="Times New Roman"/>
          <w:sz w:val="24"/>
          <w:szCs w:val="20"/>
          <w:lang w:eastAsia="es-ES"/>
        </w:rPr>
        <w:t xml:space="preserve"> atención a la catalogación establecida en el </w:t>
      </w:r>
      <w:r>
        <w:rPr>
          <w:rFonts w:ascii="Times New Roman" w:eastAsia="Times New Roman" w:hAnsi="Times New Roman" w:cs="Times New Roman"/>
          <w:sz w:val="24"/>
          <w:szCs w:val="20"/>
          <w:lang w:eastAsia="es-ES"/>
        </w:rPr>
        <w:t>PG</w:t>
      </w:r>
      <w:r w:rsidR="002E0799" w:rsidRPr="000F6CDB">
        <w:rPr>
          <w:rFonts w:ascii="Times New Roman" w:eastAsia="Times New Roman" w:hAnsi="Times New Roman" w:cs="Times New Roman"/>
          <w:sz w:val="24"/>
          <w:szCs w:val="20"/>
          <w:lang w:eastAsia="es-ES"/>
        </w:rPr>
        <w:t xml:space="preserve"> tiene una protección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ambiental, solo de fachadas, por lo que no es obligación del recurrente la rehabilitación total del mismo tal y</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como se le impone en las resoluciones recurridas.</w:t>
      </w:r>
    </w:p>
    <w:p w:rsidR="002E0799" w:rsidRPr="002E0799"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sentencia del TSJA analiza en el primer fundamento de derecho la com</w:t>
      </w:r>
      <w:r w:rsidR="002E0799" w:rsidRPr="002E0799">
        <w:rPr>
          <w:rFonts w:ascii="Times New Roman" w:eastAsia="Times New Roman" w:hAnsi="Times New Roman" w:cs="Times New Roman"/>
          <w:sz w:val="24"/>
          <w:szCs w:val="20"/>
          <w:lang w:eastAsia="es-ES"/>
        </w:rPr>
        <w:t>petencia de la Arquitecto Técnica para emitir el informe que consta en las actuaciones</w:t>
      </w:r>
      <w:r>
        <w:rPr>
          <w:rFonts w:ascii="Times New Roman" w:eastAsia="Times New Roman" w:hAnsi="Times New Roman" w:cs="Times New Roman"/>
          <w:sz w:val="24"/>
          <w:szCs w:val="20"/>
          <w:lang w:eastAsia="es-ES"/>
        </w:rPr>
        <w:t>, y aclara que e</w:t>
      </w:r>
      <w:r w:rsidR="002E0799" w:rsidRPr="002E0799">
        <w:rPr>
          <w:rFonts w:ascii="Times New Roman" w:eastAsia="Times New Roman" w:hAnsi="Times New Roman" w:cs="Times New Roman"/>
          <w:sz w:val="24"/>
          <w:szCs w:val="20"/>
          <w:lang w:eastAsia="es-ES"/>
        </w:rPr>
        <w:t>l arquitecto técnico municipal o comarcal, está capacitado para emitir informes, en el ámbito de su</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competencia y formación, sin que sea necesario que tenga la titulación adecuada para firmar el proyecto</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sometido a informe. </w:t>
      </w:r>
      <w:r>
        <w:rPr>
          <w:rFonts w:ascii="Times New Roman" w:eastAsia="Times New Roman" w:hAnsi="Times New Roman" w:cs="Times New Roman"/>
          <w:sz w:val="24"/>
          <w:szCs w:val="20"/>
          <w:lang w:eastAsia="es-ES"/>
        </w:rPr>
        <w:t>No puede elaborar un proyecto de edificación de un bloque de viviendas, pero sí tiene competencia para informar a la Corporación Local si e</w:t>
      </w:r>
      <w:r w:rsidR="002E0799" w:rsidRPr="002E0799">
        <w:rPr>
          <w:rFonts w:ascii="Times New Roman" w:eastAsia="Times New Roman" w:hAnsi="Times New Roman" w:cs="Times New Roman"/>
          <w:sz w:val="24"/>
          <w:szCs w:val="20"/>
          <w:lang w:eastAsia="es-ES"/>
        </w:rPr>
        <w:t>l proyecto se ajusta a lo previsto en el planeamiento aprobado por el Municipio y</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si cumple lo ordenado en relación con alturas, volúmenes, etc.</w:t>
      </w:r>
    </w:p>
    <w:p w:rsidR="002E0799" w:rsidRPr="002E0799"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w:t>
      </w:r>
      <w:r w:rsidR="002E0799" w:rsidRPr="002E0799">
        <w:rPr>
          <w:rFonts w:ascii="Times New Roman" w:eastAsia="Times New Roman" w:hAnsi="Times New Roman" w:cs="Times New Roman"/>
          <w:sz w:val="24"/>
          <w:szCs w:val="20"/>
          <w:lang w:eastAsia="es-ES"/>
        </w:rPr>
        <w:t>el presente caso el informe cuestionado, no hace referencia a competencias ajenas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al Arquitecto técnico, pues se refiere a valoraciones de las obras precisas para el dictado de una orden de</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ejecución, supuesto ajeno al que se hace referencia en la Sentencia citada en el recurso de apelación del</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Juzgado de lo Contencioso nº 2 de Zaragoza.</w:t>
      </w:r>
    </w:p>
    <w:p w:rsidR="002E0799" w:rsidRPr="002E0799" w:rsidRDefault="000F6CDB"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fundamento segundo se refiere a la </w:t>
      </w:r>
      <w:r w:rsidR="002E0799" w:rsidRPr="002E0799">
        <w:rPr>
          <w:rFonts w:ascii="Times New Roman" w:eastAsia="Times New Roman" w:hAnsi="Times New Roman" w:cs="Times New Roman"/>
          <w:sz w:val="24"/>
          <w:szCs w:val="20"/>
          <w:lang w:eastAsia="es-ES"/>
        </w:rPr>
        <w:t>eventual situación de ruina del edificio</w:t>
      </w:r>
      <w:r>
        <w:rPr>
          <w:rFonts w:ascii="Times New Roman" w:eastAsia="Times New Roman" w:hAnsi="Times New Roman" w:cs="Times New Roman"/>
          <w:sz w:val="24"/>
          <w:szCs w:val="20"/>
          <w:lang w:eastAsia="es-ES"/>
        </w:rPr>
        <w:t>.</w:t>
      </w:r>
      <w:r w:rsidR="002E0799" w:rsidRPr="002E0799">
        <w:rPr>
          <w:rFonts w:ascii="Times New Roman" w:eastAsia="Times New Roman" w:hAnsi="Times New Roman" w:cs="Times New Roman"/>
          <w:sz w:val="24"/>
          <w:szCs w:val="20"/>
          <w:lang w:eastAsia="es-ES"/>
        </w:rPr>
        <w:t xml:space="preserve"> </w:t>
      </w:r>
      <w:r>
        <w:rPr>
          <w:rFonts w:ascii="Times New Roman" w:eastAsia="Times New Roman" w:hAnsi="Times New Roman" w:cs="Times New Roman"/>
          <w:sz w:val="24"/>
          <w:szCs w:val="20"/>
          <w:lang w:eastAsia="es-ES"/>
        </w:rPr>
        <w:t xml:space="preserve">Reconoce que el </w:t>
      </w:r>
      <w:r w:rsidR="002E0799" w:rsidRPr="002E0799">
        <w:rPr>
          <w:rFonts w:ascii="Times New Roman" w:eastAsia="Times New Roman" w:hAnsi="Times New Roman" w:cs="Times New Roman"/>
          <w:sz w:val="24"/>
          <w:szCs w:val="20"/>
          <w:lang w:eastAsia="es-ES"/>
        </w:rPr>
        <w:t xml:space="preserve">art. 257 del TRLUA </w:t>
      </w:r>
      <w:r>
        <w:rPr>
          <w:rFonts w:ascii="Times New Roman" w:eastAsia="Times New Roman" w:hAnsi="Times New Roman" w:cs="Times New Roman"/>
          <w:sz w:val="24"/>
          <w:szCs w:val="20"/>
          <w:lang w:eastAsia="es-ES"/>
        </w:rPr>
        <w:t>prevé una opción. En primer lugar, s</w:t>
      </w:r>
      <w:r w:rsidR="002E0799" w:rsidRPr="002E0799">
        <w:rPr>
          <w:rFonts w:ascii="Times New Roman" w:eastAsia="Times New Roman" w:hAnsi="Times New Roman" w:cs="Times New Roman"/>
          <w:sz w:val="24"/>
          <w:szCs w:val="20"/>
          <w:lang w:eastAsia="es-ES"/>
        </w:rPr>
        <w:t>i los propietarios interesados en los expedientes de las órdenes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de ejecución consideran que las obras y actuaciones que el municipio pretende ordenar exceden del límite</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de su deber de conservación, </w:t>
      </w:r>
      <w:r>
        <w:rPr>
          <w:rFonts w:ascii="Times New Roman" w:eastAsia="Times New Roman" w:hAnsi="Times New Roman" w:cs="Times New Roman"/>
          <w:sz w:val="24"/>
          <w:szCs w:val="20"/>
          <w:lang w:eastAsia="es-ES"/>
        </w:rPr>
        <w:t>pueden</w:t>
      </w:r>
      <w:r w:rsidR="002E0799" w:rsidRPr="002E0799">
        <w:rPr>
          <w:rFonts w:ascii="Times New Roman" w:eastAsia="Times New Roman" w:hAnsi="Times New Roman" w:cs="Times New Roman"/>
          <w:sz w:val="24"/>
          <w:szCs w:val="20"/>
          <w:lang w:eastAsia="es-ES"/>
        </w:rPr>
        <w:t xml:space="preserve"> solicitar las subvenciones establecidas en el artículo anterior o la previa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declaración del estado de ruina de las edificaciones</w:t>
      </w:r>
      <w:r>
        <w:rPr>
          <w:rFonts w:ascii="Times New Roman" w:eastAsia="Times New Roman" w:hAnsi="Times New Roman" w:cs="Times New Roman"/>
          <w:sz w:val="24"/>
          <w:szCs w:val="20"/>
          <w:lang w:eastAsia="es-ES"/>
        </w:rPr>
        <w:t>, como ha ocurrido en este caso. Además, el art. 254.3 TRLUA dispone que e</w:t>
      </w:r>
      <w:r w:rsidR="002E0799" w:rsidRPr="002E0799">
        <w:rPr>
          <w:rFonts w:ascii="Times New Roman" w:eastAsia="Times New Roman" w:hAnsi="Times New Roman" w:cs="Times New Roman"/>
          <w:sz w:val="24"/>
          <w:szCs w:val="20"/>
          <w:lang w:eastAsia="es-ES"/>
        </w:rPr>
        <w:t>l deber de los propietarios de edificios alcanza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hasta la ejecución de los trabajos y obras cuyo importe tiene como límite el del contenido normal del deber</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de conservación, representado por la mitad del valor de una </w:t>
      </w:r>
      <w:r w:rsidR="002E0799" w:rsidRPr="002E0799">
        <w:rPr>
          <w:rFonts w:ascii="Times New Roman" w:eastAsia="Times New Roman" w:hAnsi="Times New Roman" w:cs="Times New Roman"/>
          <w:sz w:val="24"/>
          <w:szCs w:val="20"/>
          <w:lang w:eastAsia="es-ES"/>
        </w:rPr>
        <w:lastRenderedPageBreak/>
        <w:t>construcción de nueva planta, con similares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características e igual superficie útil o, en su caso, de dimensiones equivalentes que la preexistente, realizada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con las condiciones necesarias para que su ocupación sea autorizable.</w:t>
      </w:r>
    </w:p>
    <w:p w:rsidR="002E0799" w:rsidRPr="002E0799" w:rsidRDefault="00625495"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Concluye que</w:t>
      </w:r>
      <w:r w:rsidR="002E0799" w:rsidRPr="002E0799">
        <w:rPr>
          <w:rFonts w:ascii="Times New Roman" w:eastAsia="Times New Roman" w:hAnsi="Times New Roman" w:cs="Times New Roman"/>
          <w:sz w:val="24"/>
          <w:szCs w:val="20"/>
          <w:lang w:eastAsia="es-ES"/>
        </w:rPr>
        <w:t xml:space="preserve"> uno de los límites de la orden de ejecución puede ser la declaración de ruina, declaración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que viene en este caso matizada por la catalogación del inmueble como de interés arquitectónico.</w:t>
      </w:r>
    </w:p>
    <w:p w:rsidR="002E0799" w:rsidRPr="002E0799" w:rsidRDefault="00625495"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 este respecto, e</w:t>
      </w:r>
      <w:r w:rsidR="002E0799" w:rsidRPr="002E0799">
        <w:rPr>
          <w:rFonts w:ascii="Times New Roman" w:eastAsia="Times New Roman" w:hAnsi="Times New Roman" w:cs="Times New Roman"/>
          <w:sz w:val="24"/>
          <w:szCs w:val="20"/>
          <w:lang w:eastAsia="es-ES"/>
        </w:rPr>
        <w:t xml:space="preserve">l art. 261.6 del TRLUA </w:t>
      </w:r>
      <w:r>
        <w:rPr>
          <w:rFonts w:ascii="Times New Roman" w:eastAsia="Times New Roman" w:hAnsi="Times New Roman" w:cs="Times New Roman"/>
          <w:sz w:val="24"/>
          <w:szCs w:val="20"/>
          <w:lang w:eastAsia="es-ES"/>
        </w:rPr>
        <w:t xml:space="preserve">dispone que el </w:t>
      </w:r>
      <w:r w:rsidR="002E0799" w:rsidRPr="002E0799">
        <w:rPr>
          <w:rFonts w:ascii="Times New Roman" w:eastAsia="Times New Roman" w:hAnsi="Times New Roman" w:cs="Times New Roman"/>
          <w:sz w:val="24"/>
          <w:szCs w:val="20"/>
          <w:lang w:eastAsia="es-ES"/>
        </w:rPr>
        <w:t>propietario de construcciones o</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edificaciones declaradas en ruina deberá</w:t>
      </w:r>
      <w:r>
        <w:rPr>
          <w:rFonts w:ascii="Times New Roman" w:eastAsia="Times New Roman" w:hAnsi="Times New Roman" w:cs="Times New Roman"/>
          <w:sz w:val="24"/>
          <w:szCs w:val="20"/>
          <w:lang w:eastAsia="es-ES"/>
        </w:rPr>
        <w:t xml:space="preserve"> adoptar medidas urgentes o proceder a la demolición,</w:t>
      </w:r>
      <w:r w:rsidR="002E0799" w:rsidRPr="002E0799">
        <w:rPr>
          <w:rFonts w:ascii="Times New Roman" w:eastAsia="Times New Roman" w:hAnsi="Times New Roman" w:cs="Times New Roman"/>
          <w:sz w:val="24"/>
          <w:szCs w:val="20"/>
          <w:lang w:eastAsia="es-ES"/>
        </w:rPr>
        <w:t xml:space="preserve"> salvo que se trate de una construcción o edificación sujeta a algún régimen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de protección integral por el planeamiento o la legislación de patrimonio cultural, o decida proceder a su</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rehabilitación.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En los edificios o construcciones catalogados o protegidos, podrá ordenarse la conservación de determinados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elementos arquitectónicos, en los términos de la protección acordada, adoptando las medidas técnicas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necesarias para su preservación. En caso de que, por estar el edificio sujeto a protección integral y no proceder</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su descatalogación, no sea jurídicamente posible autorizar la demolición, el municipio podrá convenir con el</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propietario los términos de la rehabilitación. De no alcanzarse acuerdo, el municipio deberá optar entre ordenar</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las obras de rehabilitación necesarias, asumiendo los costes que superen el deber de conservación, o, en los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casos en los que el propietario haya incumplido su deber de conservación, proceder a la expropiación o a la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sustitución del propietario mediante la aplicación del régimen de ejecución forzosa previsto en esta Ley.</w:t>
      </w:r>
    </w:p>
    <w:p w:rsidR="00625495" w:rsidRDefault="00625495"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Como en este supuesto no se contempla la protección integral del bien </w:t>
      </w:r>
      <w:r w:rsidR="002E0799" w:rsidRPr="002E0799">
        <w:rPr>
          <w:rFonts w:ascii="Times New Roman" w:eastAsia="Times New Roman" w:hAnsi="Times New Roman" w:cs="Times New Roman"/>
          <w:sz w:val="24"/>
          <w:szCs w:val="20"/>
          <w:lang w:eastAsia="es-ES"/>
        </w:rPr>
        <w:t xml:space="preserve">no </w:t>
      </w:r>
      <w:r>
        <w:rPr>
          <w:rFonts w:ascii="Times New Roman" w:eastAsia="Times New Roman" w:hAnsi="Times New Roman" w:cs="Times New Roman"/>
          <w:sz w:val="24"/>
          <w:szCs w:val="20"/>
          <w:lang w:eastAsia="es-ES"/>
        </w:rPr>
        <w:t>son</w:t>
      </w:r>
      <w:r w:rsidR="002E0799" w:rsidRPr="002E0799">
        <w:rPr>
          <w:rFonts w:ascii="Times New Roman" w:eastAsia="Times New Roman" w:hAnsi="Times New Roman" w:cs="Times New Roman"/>
          <w:sz w:val="24"/>
          <w:szCs w:val="20"/>
          <w:lang w:eastAsia="es-ES"/>
        </w:rPr>
        <w:t xml:space="preserve"> indiferentes las medidas u órdenes de ejecución dictadas.</w:t>
      </w:r>
      <w:r>
        <w:rPr>
          <w:rFonts w:ascii="Times New Roman" w:eastAsia="Times New Roman" w:hAnsi="Times New Roman" w:cs="Times New Roman"/>
          <w:sz w:val="24"/>
          <w:szCs w:val="20"/>
          <w:lang w:eastAsia="es-ES"/>
        </w:rPr>
        <w:t xml:space="preserve"> </w:t>
      </w:r>
    </w:p>
    <w:p w:rsidR="00625495" w:rsidRDefault="00625495"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TSJA disiente de la sentencia de instancia cuando concluye que no</w:t>
      </w:r>
      <w:r w:rsidR="002E0799" w:rsidRPr="002E0799">
        <w:rPr>
          <w:rFonts w:ascii="Times New Roman" w:eastAsia="Times New Roman" w:hAnsi="Times New Roman" w:cs="Times New Roman"/>
          <w:sz w:val="24"/>
          <w:szCs w:val="20"/>
          <w:lang w:eastAsia="es-ES"/>
        </w:rPr>
        <w:t xml:space="preserve"> está prohibida la demolición del edificio, sino solo de las partes a proteger que deben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de rehabilitarse. El resto del edificio puede demolerse si se presenta un proyecto del conjunto.</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w:t>
      </w:r>
      <w:r>
        <w:rPr>
          <w:rFonts w:ascii="Times New Roman" w:eastAsia="Times New Roman" w:hAnsi="Times New Roman" w:cs="Times New Roman"/>
          <w:sz w:val="24"/>
          <w:szCs w:val="20"/>
          <w:lang w:eastAsia="es-ES"/>
        </w:rPr>
        <w:t xml:space="preserve">l TSJA considera que se </w:t>
      </w:r>
      <w:r w:rsidR="002E0799" w:rsidRPr="002E0799">
        <w:rPr>
          <w:rFonts w:ascii="Times New Roman" w:eastAsia="Times New Roman" w:hAnsi="Times New Roman" w:cs="Times New Roman"/>
          <w:sz w:val="24"/>
          <w:szCs w:val="20"/>
          <w:lang w:eastAsia="es-ES"/>
        </w:rPr>
        <w:t>trata a</w:t>
      </w:r>
      <w:r>
        <w:rPr>
          <w:rFonts w:ascii="Times New Roman" w:eastAsia="Times New Roman" w:hAnsi="Times New Roman" w:cs="Times New Roman"/>
          <w:sz w:val="24"/>
          <w:szCs w:val="20"/>
          <w:lang w:eastAsia="es-ES"/>
        </w:rPr>
        <w:t>l</w:t>
      </w:r>
      <w:r w:rsidR="002E0799" w:rsidRPr="002E0799">
        <w:rPr>
          <w:rFonts w:ascii="Times New Roman" w:eastAsia="Times New Roman" w:hAnsi="Times New Roman" w:cs="Times New Roman"/>
          <w:sz w:val="24"/>
          <w:szCs w:val="20"/>
          <w:lang w:eastAsia="es-ES"/>
        </w:rPr>
        <w:t xml:space="preserve"> edificio </w:t>
      </w:r>
      <w:r>
        <w:rPr>
          <w:rFonts w:ascii="Times New Roman" w:eastAsia="Times New Roman" w:hAnsi="Times New Roman" w:cs="Times New Roman"/>
          <w:sz w:val="24"/>
          <w:szCs w:val="20"/>
          <w:lang w:eastAsia="es-ES"/>
        </w:rPr>
        <w:t xml:space="preserve">igual que si se tratara de </w:t>
      </w:r>
      <w:r w:rsidR="002E0799" w:rsidRPr="002E0799">
        <w:rPr>
          <w:rFonts w:ascii="Times New Roman" w:eastAsia="Times New Roman" w:hAnsi="Times New Roman" w:cs="Times New Roman"/>
          <w:sz w:val="24"/>
          <w:szCs w:val="20"/>
          <w:lang w:eastAsia="es-ES"/>
        </w:rPr>
        <w:t>una protección global</w:t>
      </w:r>
      <w:r>
        <w:rPr>
          <w:rFonts w:ascii="Times New Roman" w:eastAsia="Times New Roman" w:hAnsi="Times New Roman" w:cs="Times New Roman"/>
          <w:sz w:val="24"/>
          <w:szCs w:val="20"/>
          <w:lang w:eastAsia="es-ES"/>
        </w:rPr>
        <w:t xml:space="preserve">. </w:t>
      </w:r>
    </w:p>
    <w:p w:rsidR="002E0799" w:rsidRPr="00625495" w:rsidRDefault="00625495" w:rsidP="002E079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Pr>
          <w:rFonts w:ascii="Times New Roman" w:eastAsia="Times New Roman" w:hAnsi="Times New Roman" w:cs="Times New Roman"/>
          <w:sz w:val="24"/>
          <w:szCs w:val="20"/>
          <w:lang w:eastAsia="es-ES"/>
        </w:rPr>
        <w:t>“</w:t>
      </w:r>
      <w:r w:rsidRPr="00625495">
        <w:rPr>
          <w:rFonts w:ascii="Times New Roman" w:eastAsia="Times New Roman" w:hAnsi="Times New Roman" w:cs="Times New Roman"/>
          <w:i/>
          <w:sz w:val="24"/>
          <w:szCs w:val="20"/>
          <w:lang w:eastAsia="es-ES"/>
        </w:rPr>
        <w:t>(…)</w:t>
      </w:r>
      <w:r w:rsidR="002E0799" w:rsidRPr="00625495">
        <w:rPr>
          <w:rFonts w:ascii="Times New Roman" w:eastAsia="Times New Roman" w:hAnsi="Times New Roman" w:cs="Times New Roman"/>
          <w:i/>
          <w:sz w:val="24"/>
          <w:szCs w:val="20"/>
          <w:lang w:eastAsia="es-ES"/>
        </w:rPr>
        <w:t xml:space="preserve"> si las obras de ejecución obligan a rehabilitar el edificio en su totalidad, impidiendo por la propiedad</w:t>
      </w:r>
      <w:r w:rsidRPr="00625495">
        <w:rPr>
          <w:rFonts w:ascii="Times New Roman" w:eastAsia="Times New Roman" w:hAnsi="Times New Roman" w:cs="Times New Roman"/>
          <w:i/>
          <w:sz w:val="24"/>
          <w:szCs w:val="20"/>
          <w:lang w:eastAsia="es-ES"/>
        </w:rPr>
        <w:t xml:space="preserve"> </w:t>
      </w:r>
      <w:r w:rsidR="002E0799" w:rsidRPr="00625495">
        <w:rPr>
          <w:rFonts w:ascii="Times New Roman" w:eastAsia="Times New Roman" w:hAnsi="Times New Roman" w:cs="Times New Roman"/>
          <w:i/>
          <w:sz w:val="24"/>
          <w:szCs w:val="20"/>
          <w:lang w:eastAsia="es-ES"/>
        </w:rPr>
        <w:t xml:space="preserve">la realización de un proyecto del conjunto distinto del </w:t>
      </w:r>
      <w:r w:rsidR="002E0799" w:rsidRPr="00625495">
        <w:rPr>
          <w:rFonts w:ascii="Times New Roman" w:eastAsia="Times New Roman" w:hAnsi="Times New Roman" w:cs="Times New Roman"/>
          <w:i/>
          <w:sz w:val="24"/>
          <w:szCs w:val="20"/>
          <w:lang w:eastAsia="es-ES"/>
        </w:rPr>
        <w:lastRenderedPageBreak/>
        <w:t>exigido, se está obligando a proteger una edificación,</w:t>
      </w:r>
      <w:r w:rsidRPr="00625495">
        <w:rPr>
          <w:rFonts w:ascii="Times New Roman" w:eastAsia="Times New Roman" w:hAnsi="Times New Roman" w:cs="Times New Roman"/>
          <w:i/>
          <w:sz w:val="24"/>
          <w:szCs w:val="20"/>
          <w:lang w:eastAsia="es-ES"/>
        </w:rPr>
        <w:t xml:space="preserve"> </w:t>
      </w:r>
      <w:r w:rsidR="002E0799" w:rsidRPr="00625495">
        <w:rPr>
          <w:rFonts w:ascii="Times New Roman" w:eastAsia="Times New Roman" w:hAnsi="Times New Roman" w:cs="Times New Roman"/>
          <w:i/>
          <w:sz w:val="24"/>
          <w:szCs w:val="20"/>
          <w:lang w:eastAsia="es-ES"/>
        </w:rPr>
        <w:t>más allá de lo que impone el planeamiento, recogido en el Catálogo.</w:t>
      </w:r>
    </w:p>
    <w:p w:rsidR="002E0799" w:rsidRPr="00625495" w:rsidRDefault="002E0799" w:rsidP="002E0799">
      <w:pPr>
        <w:tabs>
          <w:tab w:val="left" w:pos="-2268"/>
        </w:tabs>
        <w:spacing w:before="240" w:after="0" w:line="360" w:lineRule="auto"/>
        <w:ind w:firstLine="709"/>
        <w:jc w:val="both"/>
        <w:rPr>
          <w:rFonts w:ascii="Times New Roman" w:eastAsia="Times New Roman" w:hAnsi="Times New Roman" w:cs="Times New Roman"/>
          <w:i/>
          <w:sz w:val="24"/>
          <w:szCs w:val="20"/>
          <w:lang w:eastAsia="es-ES"/>
        </w:rPr>
      </w:pPr>
      <w:r w:rsidRPr="00625495">
        <w:rPr>
          <w:rFonts w:ascii="Times New Roman" w:eastAsia="Times New Roman" w:hAnsi="Times New Roman" w:cs="Times New Roman"/>
          <w:i/>
          <w:sz w:val="24"/>
          <w:szCs w:val="20"/>
          <w:lang w:eastAsia="es-ES"/>
        </w:rPr>
        <w:t>Dicho de otra manera, si el edificio está en situación de ruina, puede presentarse un proyecto de rehabilitación</w:t>
      </w:r>
      <w:r w:rsidR="00625495" w:rsidRPr="00625495">
        <w:rPr>
          <w:rFonts w:ascii="Times New Roman" w:eastAsia="Times New Roman" w:hAnsi="Times New Roman" w:cs="Times New Roman"/>
          <w:i/>
          <w:sz w:val="24"/>
          <w:szCs w:val="20"/>
          <w:lang w:eastAsia="es-ES"/>
        </w:rPr>
        <w:t xml:space="preserve"> </w:t>
      </w:r>
      <w:r w:rsidRPr="00625495">
        <w:rPr>
          <w:rFonts w:ascii="Times New Roman" w:eastAsia="Times New Roman" w:hAnsi="Times New Roman" w:cs="Times New Roman"/>
          <w:i/>
          <w:sz w:val="24"/>
          <w:szCs w:val="20"/>
          <w:lang w:eastAsia="es-ES"/>
        </w:rPr>
        <w:t>de las partes protegidas y un proyecto de conjunto que no respete las partes ahora de obligada rehabilitación,</w:t>
      </w:r>
      <w:r w:rsidR="00625495" w:rsidRPr="00625495">
        <w:rPr>
          <w:rFonts w:ascii="Times New Roman" w:eastAsia="Times New Roman" w:hAnsi="Times New Roman" w:cs="Times New Roman"/>
          <w:i/>
          <w:sz w:val="24"/>
          <w:szCs w:val="20"/>
          <w:lang w:eastAsia="es-ES"/>
        </w:rPr>
        <w:t xml:space="preserve"> </w:t>
      </w:r>
      <w:r w:rsidRPr="00625495">
        <w:rPr>
          <w:rFonts w:ascii="Times New Roman" w:eastAsia="Times New Roman" w:hAnsi="Times New Roman" w:cs="Times New Roman"/>
          <w:i/>
          <w:sz w:val="24"/>
          <w:szCs w:val="20"/>
          <w:lang w:eastAsia="es-ES"/>
        </w:rPr>
        <w:t>al no estar protegidas. Con ello la decisión puede convertirse en desproporcionada y por ello en disconforme</w:t>
      </w:r>
      <w:r w:rsidR="00625495" w:rsidRPr="00625495">
        <w:rPr>
          <w:rFonts w:ascii="Times New Roman" w:eastAsia="Times New Roman" w:hAnsi="Times New Roman" w:cs="Times New Roman"/>
          <w:i/>
          <w:sz w:val="24"/>
          <w:szCs w:val="20"/>
          <w:lang w:eastAsia="es-ES"/>
        </w:rPr>
        <w:t xml:space="preserve"> </w:t>
      </w:r>
      <w:r w:rsidRPr="00625495">
        <w:rPr>
          <w:rFonts w:ascii="Times New Roman" w:eastAsia="Times New Roman" w:hAnsi="Times New Roman" w:cs="Times New Roman"/>
          <w:i/>
          <w:sz w:val="24"/>
          <w:szCs w:val="20"/>
          <w:lang w:eastAsia="es-ES"/>
        </w:rPr>
        <w:t>a derecho</w:t>
      </w:r>
      <w:r w:rsidR="00625495" w:rsidRPr="00625495">
        <w:rPr>
          <w:rFonts w:ascii="Times New Roman" w:eastAsia="Times New Roman" w:hAnsi="Times New Roman" w:cs="Times New Roman"/>
          <w:i/>
          <w:sz w:val="24"/>
          <w:szCs w:val="20"/>
          <w:lang w:eastAsia="es-ES"/>
        </w:rPr>
        <w:t>”</w:t>
      </w:r>
      <w:r w:rsidRPr="00625495">
        <w:rPr>
          <w:rFonts w:ascii="Times New Roman" w:eastAsia="Times New Roman" w:hAnsi="Times New Roman" w:cs="Times New Roman"/>
          <w:i/>
          <w:sz w:val="24"/>
          <w:szCs w:val="20"/>
          <w:lang w:eastAsia="es-ES"/>
        </w:rPr>
        <w:t>.</w:t>
      </w:r>
    </w:p>
    <w:p w:rsidR="00B84039" w:rsidRDefault="00625495"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Para discernir s</w:t>
      </w:r>
      <w:r w:rsidR="002E0799" w:rsidRPr="002E0799">
        <w:rPr>
          <w:rFonts w:ascii="Times New Roman" w:eastAsia="Times New Roman" w:hAnsi="Times New Roman" w:cs="Times New Roman"/>
          <w:sz w:val="24"/>
          <w:szCs w:val="20"/>
          <w:lang w:eastAsia="es-ES"/>
        </w:rPr>
        <w:t xml:space="preserve">i estamos en presencia o no de una situación de ruina, </w:t>
      </w:r>
      <w:r>
        <w:rPr>
          <w:rFonts w:ascii="Times New Roman" w:eastAsia="Times New Roman" w:hAnsi="Times New Roman" w:cs="Times New Roman"/>
          <w:sz w:val="24"/>
          <w:szCs w:val="20"/>
          <w:lang w:eastAsia="es-ES"/>
        </w:rPr>
        <w:t>hay que atender a dos criterios:</w:t>
      </w:r>
      <w:r w:rsidR="00B84039">
        <w:rPr>
          <w:rFonts w:ascii="Times New Roman" w:eastAsia="Times New Roman" w:hAnsi="Times New Roman" w:cs="Times New Roman"/>
          <w:sz w:val="24"/>
          <w:szCs w:val="20"/>
          <w:lang w:eastAsia="es-ES"/>
        </w:rPr>
        <w:t xml:space="preserve"> </w:t>
      </w:r>
      <w:r w:rsidR="002E0799" w:rsidRPr="00625495">
        <w:rPr>
          <w:rFonts w:ascii="Times New Roman" w:eastAsia="Times New Roman" w:hAnsi="Times New Roman" w:cs="Times New Roman"/>
          <w:sz w:val="24"/>
          <w:szCs w:val="20"/>
          <w:lang w:eastAsia="es-ES"/>
        </w:rPr>
        <w:t>el valor de construcción de nueva planta</w:t>
      </w:r>
      <w:r w:rsidR="00B84039">
        <w:rPr>
          <w:rFonts w:ascii="Times New Roman" w:eastAsia="Times New Roman" w:hAnsi="Times New Roman" w:cs="Times New Roman"/>
          <w:sz w:val="24"/>
          <w:szCs w:val="20"/>
          <w:lang w:eastAsia="es-ES"/>
        </w:rPr>
        <w:t xml:space="preserve">, que tiene que ser </w:t>
      </w:r>
      <w:r w:rsidR="002E0799" w:rsidRPr="002E0799">
        <w:rPr>
          <w:rFonts w:ascii="Times New Roman" w:eastAsia="Times New Roman" w:hAnsi="Times New Roman" w:cs="Times New Roman"/>
          <w:sz w:val="24"/>
          <w:szCs w:val="20"/>
          <w:lang w:eastAsia="es-ES"/>
        </w:rPr>
        <w:t>con similares características e igual superficie útil o de dimensiones equivalentes, y realizada</w:t>
      </w:r>
      <w:r w:rsidR="00B84039">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con las condiciones necesarias para que su ocupación sea autorizable, está valorando una edificación que</w:t>
      </w:r>
      <w:r w:rsidR="00B84039">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pueda ser utilizada, en el día de la valoración, para el fin, para el que se construyó. </w:t>
      </w:r>
    </w:p>
    <w:p w:rsidR="00B84039"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el caso objeto del recurso no se menciona en ningún momento el uso agropecuario, sino de uso de vivienda. </w:t>
      </w:r>
      <w:r w:rsidR="002E0799" w:rsidRPr="002E0799">
        <w:rPr>
          <w:rFonts w:ascii="Times New Roman" w:eastAsia="Times New Roman" w:hAnsi="Times New Roman" w:cs="Times New Roman"/>
          <w:sz w:val="24"/>
          <w:szCs w:val="20"/>
          <w:lang w:eastAsia="es-ES"/>
        </w:rPr>
        <w:t xml:space="preserve">Por ello la valoración efectuada de ese edificio debe ser uso de vivienda autorizable. </w:t>
      </w:r>
    </w:p>
    <w:p w:rsidR="002E0799" w:rsidRPr="002E0799"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w:t>
      </w:r>
      <w:r w:rsidR="002E0799" w:rsidRPr="002E0799">
        <w:rPr>
          <w:rFonts w:ascii="Times New Roman" w:eastAsia="Times New Roman" w:hAnsi="Times New Roman" w:cs="Times New Roman"/>
          <w:sz w:val="24"/>
          <w:szCs w:val="20"/>
          <w:lang w:eastAsia="es-ES"/>
        </w:rPr>
        <w:t>n situaciones como la presente en que estamos hablando de una finca de recreo o auxiliar</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a explotación agrícola del Siglo XVIII, que no se ha adecuado a un uso actual de vivienda, se reduce el límite</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de obligación por lo que la declaración de ruina es menos exigente, pero para evitar una demolición están las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medidas de protección de bienes catalogados, que aquí han sido adoptadas por el municipio en su Catálogo.</w:t>
      </w:r>
    </w:p>
    <w:p w:rsidR="002E0799" w:rsidRPr="002E0799"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En este punto estima el recurso de apelación porque </w:t>
      </w:r>
      <w:r w:rsidR="002E0799" w:rsidRPr="002E0799">
        <w:rPr>
          <w:rFonts w:ascii="Times New Roman" w:eastAsia="Times New Roman" w:hAnsi="Times New Roman" w:cs="Times New Roman"/>
          <w:sz w:val="24"/>
          <w:szCs w:val="20"/>
          <w:lang w:eastAsia="es-ES"/>
        </w:rPr>
        <w:t>se imponen una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 xml:space="preserve">serie de obras de rehabilitación que no solo exceden del </w:t>
      </w:r>
      <w:r w:rsidRPr="002E0799">
        <w:rPr>
          <w:rFonts w:ascii="Times New Roman" w:eastAsia="Times New Roman" w:hAnsi="Times New Roman" w:cs="Times New Roman"/>
          <w:sz w:val="24"/>
          <w:szCs w:val="20"/>
          <w:lang w:eastAsia="es-ES"/>
        </w:rPr>
        <w:t>límite</w:t>
      </w:r>
      <w:r w:rsidR="002E0799" w:rsidRPr="002E0799">
        <w:rPr>
          <w:rFonts w:ascii="Times New Roman" w:eastAsia="Times New Roman" w:hAnsi="Times New Roman" w:cs="Times New Roman"/>
          <w:sz w:val="24"/>
          <w:szCs w:val="20"/>
          <w:lang w:eastAsia="es-ES"/>
        </w:rPr>
        <w:t xml:space="preserve"> del contenido normal del deber de conservación,</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sino que imponen una rehabilitación total del edificio, sin amparo en el Catálogo de</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protección.</w:t>
      </w:r>
    </w:p>
    <w:p w:rsidR="00B84039"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Sobre la orden de ejecución, impone dos tipos de obras, u</w:t>
      </w:r>
      <w:r w:rsidR="002E0799" w:rsidRPr="002E0799">
        <w:rPr>
          <w:rFonts w:ascii="Times New Roman" w:eastAsia="Times New Roman" w:hAnsi="Times New Roman" w:cs="Times New Roman"/>
          <w:sz w:val="24"/>
          <w:szCs w:val="20"/>
          <w:lang w:eastAsia="es-ES"/>
        </w:rPr>
        <w:t>nas</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inmediatas debido al estado del edificio y a evitar daños a terceros, que debe realizar en plazo de dos meses</w:t>
      </w:r>
      <w:r>
        <w:rPr>
          <w:rFonts w:ascii="Times New Roman" w:eastAsia="Times New Roman" w:hAnsi="Times New Roman" w:cs="Times New Roman"/>
          <w:sz w:val="24"/>
          <w:szCs w:val="20"/>
          <w:lang w:eastAsia="es-ES"/>
        </w:rPr>
        <w:t xml:space="preserve"> y</w:t>
      </w:r>
      <w:r w:rsidR="002E0799" w:rsidRPr="002E0799">
        <w:rPr>
          <w:rFonts w:ascii="Times New Roman" w:eastAsia="Times New Roman" w:hAnsi="Times New Roman" w:cs="Times New Roman"/>
          <w:sz w:val="24"/>
          <w:szCs w:val="20"/>
          <w:lang w:eastAsia="es-ES"/>
        </w:rPr>
        <w:t xml:space="preserve"> otras de rehabilitación de la</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edificación, cuyo proyecto debe presentarse en el plazo de cuatro meses y otros cinco meses para la ejecución</w:t>
      </w:r>
      <w:r>
        <w:rPr>
          <w:rFonts w:ascii="Times New Roman" w:eastAsia="Times New Roman" w:hAnsi="Times New Roman" w:cs="Times New Roman"/>
          <w:sz w:val="24"/>
          <w:szCs w:val="20"/>
          <w:lang w:eastAsia="es-ES"/>
        </w:rPr>
        <w:t xml:space="preserve">. </w:t>
      </w:r>
    </w:p>
    <w:p w:rsidR="002E0799" w:rsidRPr="002E0799"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sentencia confirma que las obras inm</w:t>
      </w:r>
      <w:r w:rsidR="002E0799" w:rsidRPr="002E0799">
        <w:rPr>
          <w:rFonts w:ascii="Times New Roman" w:eastAsia="Times New Roman" w:hAnsi="Times New Roman" w:cs="Times New Roman"/>
          <w:sz w:val="24"/>
          <w:szCs w:val="20"/>
          <w:lang w:eastAsia="es-ES"/>
        </w:rPr>
        <w:t>ediatas están adoptadas para evitar daños a terceros y por tanto deben de adoptarse en</w:t>
      </w:r>
      <w:r>
        <w:rPr>
          <w:rFonts w:ascii="Times New Roman" w:eastAsia="Times New Roman" w:hAnsi="Times New Roman" w:cs="Times New Roman"/>
          <w:sz w:val="24"/>
          <w:szCs w:val="20"/>
          <w:lang w:eastAsia="es-ES"/>
        </w:rPr>
        <w:t xml:space="preserve"> aplicación del art. </w:t>
      </w:r>
      <w:r w:rsidR="002E0799" w:rsidRPr="002E0799">
        <w:rPr>
          <w:rFonts w:ascii="Times New Roman" w:eastAsia="Times New Roman" w:hAnsi="Times New Roman" w:cs="Times New Roman"/>
          <w:sz w:val="24"/>
          <w:szCs w:val="20"/>
          <w:lang w:eastAsia="es-ES"/>
        </w:rPr>
        <w:t>261.6.a) del TRLUA</w:t>
      </w:r>
      <w:r>
        <w:rPr>
          <w:rFonts w:ascii="Times New Roman" w:eastAsia="Times New Roman" w:hAnsi="Times New Roman" w:cs="Times New Roman"/>
          <w:sz w:val="24"/>
          <w:szCs w:val="20"/>
          <w:lang w:eastAsia="es-ES"/>
        </w:rPr>
        <w:t xml:space="preserve">. Sin </w:t>
      </w:r>
      <w:r>
        <w:rPr>
          <w:rFonts w:ascii="Times New Roman" w:eastAsia="Times New Roman" w:hAnsi="Times New Roman" w:cs="Times New Roman"/>
          <w:sz w:val="24"/>
          <w:szCs w:val="20"/>
          <w:lang w:eastAsia="es-ES"/>
        </w:rPr>
        <w:lastRenderedPageBreak/>
        <w:t xml:space="preserve">embargo, anula las referidas a las obras </w:t>
      </w:r>
      <w:r w:rsidR="002E0799" w:rsidRPr="002E0799">
        <w:rPr>
          <w:rFonts w:ascii="Times New Roman" w:eastAsia="Times New Roman" w:hAnsi="Times New Roman" w:cs="Times New Roman"/>
          <w:sz w:val="24"/>
          <w:szCs w:val="20"/>
          <w:lang w:eastAsia="es-ES"/>
        </w:rPr>
        <w:t>de rehabilitación porque no</w:t>
      </w:r>
      <w:r>
        <w:rPr>
          <w:rFonts w:ascii="Times New Roman" w:eastAsia="Times New Roman" w:hAnsi="Times New Roman" w:cs="Times New Roman"/>
          <w:sz w:val="24"/>
          <w:szCs w:val="20"/>
          <w:lang w:eastAsia="es-ES"/>
        </w:rPr>
        <w:t xml:space="preserve"> </w:t>
      </w:r>
      <w:r w:rsidR="002E0799" w:rsidRPr="002E0799">
        <w:rPr>
          <w:rFonts w:ascii="Times New Roman" w:eastAsia="Times New Roman" w:hAnsi="Times New Roman" w:cs="Times New Roman"/>
          <w:sz w:val="24"/>
          <w:szCs w:val="20"/>
          <w:lang w:eastAsia="es-ES"/>
        </w:rPr>
        <w:t>van encaminadas a proteger las partes catalogadas del edificio.</w:t>
      </w:r>
    </w:p>
    <w:p w:rsidR="001B0547" w:rsidRDefault="00B84039" w:rsidP="002E0799">
      <w:pPr>
        <w:tabs>
          <w:tab w:val="left" w:pos="-2268"/>
        </w:tabs>
        <w:spacing w:before="240" w:after="0" w:line="360" w:lineRule="auto"/>
        <w:ind w:firstLine="709"/>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En consecuencia, estima parcialmente el recurso de apelaci</w:t>
      </w:r>
      <w:r w:rsidR="001B0547">
        <w:rPr>
          <w:rFonts w:ascii="Times New Roman" w:eastAsia="Times New Roman" w:hAnsi="Times New Roman" w:cs="Times New Roman"/>
          <w:sz w:val="24"/>
          <w:szCs w:val="20"/>
          <w:lang w:eastAsia="es-ES"/>
        </w:rPr>
        <w:t>ón, revoca la sentencia apelada parcialmente y estima en parte el recurso contencioso administrativo.</w:t>
      </w:r>
    </w:p>
    <w:p w:rsidR="00622642" w:rsidRPr="00622642" w:rsidRDefault="00622642" w:rsidP="00622642">
      <w:pPr>
        <w:spacing w:before="120" w:after="0" w:line="360" w:lineRule="auto"/>
        <w:ind w:firstLine="709"/>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 xml:space="preserve">III. DOCUMENTOS RELEVANTES. </w:t>
      </w:r>
    </w:p>
    <w:p w:rsidR="00622642" w:rsidRPr="00622642" w:rsidRDefault="00622642" w:rsidP="00622642">
      <w:pPr>
        <w:numPr>
          <w:ilvl w:val="0"/>
          <w:numId w:val="10"/>
        </w:numPr>
        <w:spacing w:before="120" w:after="0" w:line="360" w:lineRule="auto"/>
        <w:contextualSpacing/>
        <w:jc w:val="both"/>
        <w:rPr>
          <w:rFonts w:ascii="Times New Roman" w:eastAsia="Times New Roman" w:hAnsi="Times New Roman" w:cs="Times New Roman"/>
          <w:b/>
          <w:sz w:val="24"/>
          <w:szCs w:val="20"/>
          <w:lang w:eastAsia="es-ES"/>
        </w:rPr>
      </w:pPr>
      <w:r w:rsidRPr="00622642">
        <w:rPr>
          <w:rFonts w:ascii="Times New Roman" w:eastAsia="Times New Roman" w:hAnsi="Times New Roman" w:cs="Times New Roman"/>
          <w:b/>
          <w:sz w:val="24"/>
          <w:szCs w:val="20"/>
          <w:lang w:eastAsia="es-ES"/>
        </w:rPr>
        <w:t>Recursos de inconstitucionalidad</w:t>
      </w:r>
    </w:p>
    <w:p w:rsidR="00622642" w:rsidRPr="00622642" w:rsidRDefault="00622642" w:rsidP="00622642">
      <w:pPr>
        <w:numPr>
          <w:ilvl w:val="0"/>
          <w:numId w:val="3"/>
        </w:numPr>
        <w:spacing w:before="120" w:after="0" w:line="360" w:lineRule="auto"/>
        <w:contextualSpacing/>
        <w:jc w:val="both"/>
        <w:rPr>
          <w:rFonts w:ascii="Times New Roman" w:eastAsia="Times New Roman" w:hAnsi="Times New Roman" w:cs="Times New Roman"/>
          <w:sz w:val="24"/>
          <w:szCs w:val="20"/>
          <w:lang w:eastAsia="es-ES"/>
        </w:rPr>
      </w:pPr>
      <w:r w:rsidRPr="00622642">
        <w:rPr>
          <w:rFonts w:ascii="Times New Roman" w:eastAsia="Times New Roman" w:hAnsi="Times New Roman" w:cs="Times New Roman"/>
          <w:sz w:val="24"/>
          <w:szCs w:val="20"/>
          <w:lang w:eastAsia="es-ES"/>
        </w:rPr>
        <w:t xml:space="preserve">Admisión a trámite del recurso de inconstitucionalidad nº </w:t>
      </w:r>
      <w:r w:rsidR="00B429FC">
        <w:rPr>
          <w:rFonts w:ascii="Times New Roman" w:eastAsia="Times New Roman" w:hAnsi="Times New Roman" w:cs="Times New Roman"/>
          <w:sz w:val="24"/>
          <w:szCs w:val="20"/>
          <w:lang w:eastAsia="es-ES"/>
        </w:rPr>
        <w:t>6289</w:t>
      </w:r>
      <w:r w:rsidRPr="00622642">
        <w:rPr>
          <w:rFonts w:ascii="Times New Roman" w:eastAsia="Times New Roman" w:hAnsi="Times New Roman" w:cs="Times New Roman"/>
          <w:sz w:val="24"/>
          <w:szCs w:val="20"/>
          <w:lang w:eastAsia="es-ES"/>
        </w:rPr>
        <w:t xml:space="preserve">/2020, promovido por </w:t>
      </w:r>
      <w:r w:rsidR="00B429FC">
        <w:rPr>
          <w:rFonts w:ascii="Times New Roman" w:eastAsia="Times New Roman" w:hAnsi="Times New Roman" w:cs="Times New Roman"/>
          <w:sz w:val="24"/>
          <w:szCs w:val="20"/>
          <w:lang w:eastAsia="es-ES"/>
        </w:rPr>
        <w:t xml:space="preserve">más de 50 </w:t>
      </w:r>
      <w:r w:rsidRPr="00622642">
        <w:rPr>
          <w:rFonts w:ascii="Times New Roman" w:eastAsia="Times New Roman" w:hAnsi="Times New Roman" w:cs="Times New Roman"/>
          <w:sz w:val="24"/>
          <w:szCs w:val="20"/>
          <w:lang w:eastAsia="es-ES"/>
        </w:rPr>
        <w:t xml:space="preserve">Diputados del Grupo </w:t>
      </w:r>
      <w:r w:rsidR="00B429FC">
        <w:rPr>
          <w:rFonts w:ascii="Times New Roman" w:eastAsia="Times New Roman" w:hAnsi="Times New Roman" w:cs="Times New Roman"/>
          <w:sz w:val="24"/>
          <w:szCs w:val="20"/>
          <w:lang w:eastAsia="es-ES"/>
        </w:rPr>
        <w:t>P</w:t>
      </w:r>
      <w:r w:rsidRPr="00622642">
        <w:rPr>
          <w:rFonts w:ascii="Times New Roman" w:eastAsia="Times New Roman" w:hAnsi="Times New Roman" w:cs="Times New Roman"/>
          <w:sz w:val="24"/>
          <w:szCs w:val="20"/>
          <w:lang w:eastAsia="es-ES"/>
        </w:rPr>
        <w:t xml:space="preserve">arlamentario </w:t>
      </w:r>
      <w:r w:rsidR="00B429FC">
        <w:rPr>
          <w:rFonts w:ascii="Times New Roman" w:eastAsia="Times New Roman" w:hAnsi="Times New Roman" w:cs="Times New Roman"/>
          <w:sz w:val="24"/>
          <w:szCs w:val="20"/>
          <w:lang w:eastAsia="es-ES"/>
        </w:rPr>
        <w:t>Popular</w:t>
      </w:r>
      <w:r w:rsidRPr="00622642">
        <w:rPr>
          <w:rFonts w:ascii="Times New Roman" w:eastAsia="Times New Roman" w:hAnsi="Times New Roman" w:cs="Times New Roman"/>
          <w:sz w:val="24"/>
          <w:szCs w:val="20"/>
          <w:lang w:eastAsia="es-ES"/>
        </w:rPr>
        <w:t xml:space="preserve"> en el Congreso, contra </w:t>
      </w:r>
      <w:r w:rsidR="00B429FC">
        <w:rPr>
          <w:rFonts w:ascii="Times New Roman" w:eastAsia="Times New Roman" w:hAnsi="Times New Roman" w:cs="Times New Roman"/>
          <w:sz w:val="24"/>
          <w:szCs w:val="20"/>
          <w:lang w:eastAsia="es-ES"/>
        </w:rPr>
        <w:t>los</w:t>
      </w:r>
      <w:r w:rsidRPr="00622642">
        <w:rPr>
          <w:rFonts w:ascii="Times New Roman" w:eastAsia="Times New Roman" w:hAnsi="Times New Roman" w:cs="Times New Roman"/>
          <w:sz w:val="24"/>
          <w:szCs w:val="20"/>
          <w:lang w:eastAsia="es-ES"/>
        </w:rPr>
        <w:t xml:space="preserve"> artículos </w:t>
      </w:r>
      <w:r w:rsidR="00B429FC">
        <w:rPr>
          <w:rFonts w:ascii="Times New Roman" w:eastAsia="Times New Roman" w:hAnsi="Times New Roman" w:cs="Times New Roman"/>
          <w:sz w:val="24"/>
          <w:szCs w:val="20"/>
          <w:lang w:eastAsia="es-ES"/>
        </w:rPr>
        <w:t xml:space="preserve"> 2, 3.2, 3.3, 3.4, 6, 7.1, 15.1, 16.2 y 18 y disposiciones adicionales primera y cuarta de la Ley de Cataluña 11/2020, de 18 de septiembre, </w:t>
      </w:r>
      <w:r w:rsidRPr="00622642">
        <w:rPr>
          <w:rFonts w:ascii="Times New Roman" w:eastAsia="Times New Roman" w:hAnsi="Times New Roman" w:cs="Times New Roman"/>
          <w:sz w:val="24"/>
          <w:szCs w:val="20"/>
          <w:lang w:eastAsia="es-ES"/>
        </w:rPr>
        <w:t xml:space="preserve">de </w:t>
      </w:r>
      <w:r w:rsidR="00B429FC">
        <w:rPr>
          <w:rFonts w:ascii="Times New Roman" w:eastAsia="Times New Roman" w:hAnsi="Times New Roman" w:cs="Times New Roman"/>
          <w:sz w:val="24"/>
          <w:szCs w:val="20"/>
          <w:lang w:eastAsia="es-ES"/>
        </w:rPr>
        <w:t>medidas urgentes en materia de contención de rentas de contratos de arrendamiento de vivienda y de modificaciones de la Ley 18/2007, de la Ley 24/2015 y de la Ley 4/2016, relativas a la protección del derecho a la vivienda</w:t>
      </w:r>
      <w:r w:rsidRPr="00622642">
        <w:rPr>
          <w:rFonts w:ascii="Times New Roman" w:eastAsia="Times New Roman" w:hAnsi="Times New Roman" w:cs="Times New Roman"/>
          <w:sz w:val="24"/>
          <w:szCs w:val="20"/>
          <w:lang w:eastAsia="es-ES"/>
        </w:rPr>
        <w:t xml:space="preserve">. (BOE núm. </w:t>
      </w:r>
      <w:r w:rsidR="00B429FC">
        <w:rPr>
          <w:rFonts w:ascii="Times New Roman" w:eastAsia="Times New Roman" w:hAnsi="Times New Roman" w:cs="Times New Roman"/>
          <w:sz w:val="24"/>
          <w:szCs w:val="20"/>
          <w:lang w:eastAsia="es-ES"/>
        </w:rPr>
        <w:t>29</w:t>
      </w:r>
      <w:r w:rsidRPr="00622642">
        <w:rPr>
          <w:rFonts w:ascii="Times New Roman" w:eastAsia="Times New Roman" w:hAnsi="Times New Roman" w:cs="Times New Roman"/>
          <w:sz w:val="24"/>
          <w:szCs w:val="20"/>
          <w:lang w:eastAsia="es-ES"/>
        </w:rPr>
        <w:t xml:space="preserve">, de </w:t>
      </w:r>
      <w:r w:rsidR="00B429FC">
        <w:rPr>
          <w:rFonts w:ascii="Times New Roman" w:eastAsia="Times New Roman" w:hAnsi="Times New Roman" w:cs="Times New Roman"/>
          <w:sz w:val="24"/>
          <w:szCs w:val="20"/>
          <w:lang w:eastAsia="es-ES"/>
        </w:rPr>
        <w:t>3</w:t>
      </w:r>
      <w:r w:rsidRPr="00622642">
        <w:rPr>
          <w:rFonts w:ascii="Times New Roman" w:eastAsia="Times New Roman" w:hAnsi="Times New Roman" w:cs="Times New Roman"/>
          <w:sz w:val="24"/>
          <w:szCs w:val="20"/>
          <w:lang w:eastAsia="es-ES"/>
        </w:rPr>
        <w:t xml:space="preserve"> de </w:t>
      </w:r>
      <w:r w:rsidR="00B429FC">
        <w:rPr>
          <w:rFonts w:ascii="Times New Roman" w:eastAsia="Times New Roman" w:hAnsi="Times New Roman" w:cs="Times New Roman"/>
          <w:sz w:val="24"/>
          <w:szCs w:val="20"/>
          <w:lang w:eastAsia="es-ES"/>
        </w:rPr>
        <w:t>febrero</w:t>
      </w:r>
      <w:r w:rsidRPr="00622642">
        <w:rPr>
          <w:rFonts w:ascii="Times New Roman" w:eastAsia="Times New Roman" w:hAnsi="Times New Roman" w:cs="Times New Roman"/>
          <w:sz w:val="24"/>
          <w:szCs w:val="20"/>
          <w:lang w:eastAsia="es-ES"/>
        </w:rPr>
        <w:t>).</w:t>
      </w:r>
    </w:p>
    <w:p w:rsidR="00622642" w:rsidRPr="00F86927" w:rsidRDefault="00B429FC" w:rsidP="00B96E9D">
      <w:pPr>
        <w:numPr>
          <w:ilvl w:val="0"/>
          <w:numId w:val="3"/>
        </w:numPr>
        <w:spacing w:before="120" w:after="0" w:line="360" w:lineRule="auto"/>
        <w:contextualSpacing/>
        <w:jc w:val="both"/>
        <w:rPr>
          <w:rFonts w:ascii="Times New Roman" w:eastAsia="Times New Roman" w:hAnsi="Times New Roman" w:cs="Times New Roman"/>
          <w:sz w:val="24"/>
          <w:szCs w:val="20"/>
          <w:lang w:eastAsia="es-ES"/>
        </w:rPr>
      </w:pPr>
      <w:r w:rsidRPr="00F86927">
        <w:rPr>
          <w:rFonts w:ascii="Times New Roman" w:eastAsia="Times New Roman" w:hAnsi="Times New Roman" w:cs="Times New Roman"/>
          <w:sz w:val="24"/>
          <w:szCs w:val="20"/>
          <w:lang w:eastAsia="es-ES"/>
        </w:rPr>
        <w:t xml:space="preserve">Admisión a trámite del recurso de inconstitucionalidad nº 231/2021, promovido por más de 50 </w:t>
      </w:r>
      <w:r w:rsidR="00F86927" w:rsidRPr="00F86927">
        <w:rPr>
          <w:rFonts w:ascii="Times New Roman" w:eastAsia="Times New Roman" w:hAnsi="Times New Roman" w:cs="Times New Roman"/>
          <w:sz w:val="24"/>
          <w:szCs w:val="20"/>
          <w:lang w:eastAsia="es-ES"/>
        </w:rPr>
        <w:t>Senadores</w:t>
      </w:r>
      <w:r w:rsidRPr="00F86927">
        <w:rPr>
          <w:rFonts w:ascii="Times New Roman" w:eastAsia="Times New Roman" w:hAnsi="Times New Roman" w:cs="Times New Roman"/>
          <w:sz w:val="24"/>
          <w:szCs w:val="20"/>
          <w:lang w:eastAsia="es-ES"/>
        </w:rPr>
        <w:t xml:space="preserve"> del Grupo Parlamentario </w:t>
      </w:r>
      <w:r w:rsidR="00F86927" w:rsidRPr="00F86927">
        <w:rPr>
          <w:rFonts w:ascii="Times New Roman" w:eastAsia="Times New Roman" w:hAnsi="Times New Roman" w:cs="Times New Roman"/>
          <w:sz w:val="24"/>
          <w:szCs w:val="20"/>
          <w:lang w:eastAsia="es-ES"/>
        </w:rPr>
        <w:t>Socialista</w:t>
      </w:r>
      <w:r w:rsidRPr="00F86927">
        <w:rPr>
          <w:rFonts w:ascii="Times New Roman" w:eastAsia="Times New Roman" w:hAnsi="Times New Roman" w:cs="Times New Roman"/>
          <w:sz w:val="24"/>
          <w:szCs w:val="20"/>
          <w:lang w:eastAsia="es-ES"/>
        </w:rPr>
        <w:t xml:space="preserve">, contra la Ley </w:t>
      </w:r>
      <w:r w:rsidR="00F86927" w:rsidRPr="00F86927">
        <w:rPr>
          <w:rFonts w:ascii="Times New Roman" w:eastAsia="Times New Roman" w:hAnsi="Times New Roman" w:cs="Times New Roman"/>
          <w:sz w:val="24"/>
          <w:szCs w:val="20"/>
          <w:lang w:eastAsia="es-ES"/>
        </w:rPr>
        <w:t>1</w:t>
      </w:r>
      <w:r w:rsidRPr="00F86927">
        <w:rPr>
          <w:rFonts w:ascii="Times New Roman" w:eastAsia="Times New Roman" w:hAnsi="Times New Roman" w:cs="Times New Roman"/>
          <w:sz w:val="24"/>
          <w:szCs w:val="20"/>
          <w:lang w:eastAsia="es-ES"/>
        </w:rPr>
        <w:t xml:space="preserve">/2020, de 8 de </w:t>
      </w:r>
      <w:r w:rsidR="00F86927" w:rsidRPr="00F86927">
        <w:rPr>
          <w:rFonts w:ascii="Times New Roman" w:eastAsia="Times New Roman" w:hAnsi="Times New Roman" w:cs="Times New Roman"/>
          <w:sz w:val="24"/>
          <w:szCs w:val="20"/>
          <w:lang w:eastAsia="es-ES"/>
        </w:rPr>
        <w:t>octubre</w:t>
      </w:r>
      <w:r w:rsidRPr="00F86927">
        <w:rPr>
          <w:rFonts w:ascii="Times New Roman" w:eastAsia="Times New Roman" w:hAnsi="Times New Roman" w:cs="Times New Roman"/>
          <w:sz w:val="24"/>
          <w:szCs w:val="20"/>
          <w:lang w:eastAsia="es-ES"/>
        </w:rPr>
        <w:t xml:space="preserve">, </w:t>
      </w:r>
      <w:r w:rsidR="00F86927" w:rsidRPr="00F86927">
        <w:rPr>
          <w:rFonts w:ascii="Times New Roman" w:eastAsia="Times New Roman" w:hAnsi="Times New Roman" w:cs="Times New Roman"/>
          <w:sz w:val="24"/>
          <w:szCs w:val="20"/>
          <w:lang w:eastAsia="es-ES"/>
        </w:rPr>
        <w:t>por la que se modifica la Ley 9/221, de 17 de julio, del Suelo de la Comunidad de Madrid, para el impulso y reactivación de la actividad urbanística.</w:t>
      </w:r>
      <w:r w:rsidRPr="00F86927">
        <w:rPr>
          <w:rFonts w:ascii="Times New Roman" w:eastAsia="Times New Roman" w:hAnsi="Times New Roman" w:cs="Times New Roman"/>
          <w:sz w:val="24"/>
          <w:szCs w:val="20"/>
          <w:lang w:eastAsia="es-ES"/>
        </w:rPr>
        <w:t xml:space="preserve"> (BOE núm. </w:t>
      </w:r>
      <w:r w:rsidR="00F86927">
        <w:rPr>
          <w:rFonts w:ascii="Times New Roman" w:eastAsia="Times New Roman" w:hAnsi="Times New Roman" w:cs="Times New Roman"/>
          <w:sz w:val="24"/>
          <w:szCs w:val="20"/>
          <w:lang w:eastAsia="es-ES"/>
        </w:rPr>
        <w:t>46</w:t>
      </w:r>
      <w:r w:rsidRPr="00F86927">
        <w:rPr>
          <w:rFonts w:ascii="Times New Roman" w:eastAsia="Times New Roman" w:hAnsi="Times New Roman" w:cs="Times New Roman"/>
          <w:sz w:val="24"/>
          <w:szCs w:val="20"/>
          <w:lang w:eastAsia="es-ES"/>
        </w:rPr>
        <w:t xml:space="preserve">, de </w:t>
      </w:r>
      <w:r w:rsidR="00F86927">
        <w:rPr>
          <w:rFonts w:ascii="Times New Roman" w:eastAsia="Times New Roman" w:hAnsi="Times New Roman" w:cs="Times New Roman"/>
          <w:sz w:val="24"/>
          <w:szCs w:val="20"/>
          <w:lang w:eastAsia="es-ES"/>
        </w:rPr>
        <w:t>2</w:t>
      </w:r>
      <w:r w:rsidRPr="00F86927">
        <w:rPr>
          <w:rFonts w:ascii="Times New Roman" w:eastAsia="Times New Roman" w:hAnsi="Times New Roman" w:cs="Times New Roman"/>
          <w:sz w:val="24"/>
          <w:szCs w:val="20"/>
          <w:lang w:eastAsia="es-ES"/>
        </w:rPr>
        <w:t>3 de febrero).</w:t>
      </w:r>
    </w:p>
    <w:sectPr w:rsidR="00622642" w:rsidRPr="00F8692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AD" w:rsidRDefault="000135AD" w:rsidP="00A337B3">
      <w:pPr>
        <w:spacing w:after="0" w:line="240" w:lineRule="auto"/>
      </w:pPr>
      <w:r>
        <w:separator/>
      </w:r>
    </w:p>
  </w:endnote>
  <w:endnote w:type="continuationSeparator" w:id="0">
    <w:p w:rsidR="000135AD" w:rsidRDefault="000135AD" w:rsidP="00A3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78525"/>
      <w:docPartObj>
        <w:docPartGallery w:val="Page Numbers (Bottom of Page)"/>
        <w:docPartUnique/>
      </w:docPartObj>
    </w:sdtPr>
    <w:sdtContent>
      <w:p w:rsidR="000135AD" w:rsidRDefault="000135AD">
        <w:pPr>
          <w:pStyle w:val="Piedepgina"/>
          <w:jc w:val="right"/>
        </w:pPr>
        <w:r>
          <w:fldChar w:fldCharType="begin"/>
        </w:r>
        <w:r>
          <w:instrText>PAGE   \* MERGEFORMAT</w:instrText>
        </w:r>
        <w:r>
          <w:fldChar w:fldCharType="separate"/>
        </w:r>
        <w:r w:rsidR="00D75F50">
          <w:rPr>
            <w:noProof/>
          </w:rPr>
          <w:t>3</w:t>
        </w:r>
        <w:r>
          <w:fldChar w:fldCharType="end"/>
        </w:r>
      </w:p>
    </w:sdtContent>
  </w:sdt>
  <w:p w:rsidR="000135AD" w:rsidRDefault="000135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AD" w:rsidRDefault="000135AD" w:rsidP="00A337B3">
      <w:pPr>
        <w:spacing w:after="0" w:line="240" w:lineRule="auto"/>
      </w:pPr>
      <w:r>
        <w:separator/>
      </w:r>
    </w:p>
  </w:footnote>
  <w:footnote w:type="continuationSeparator" w:id="0">
    <w:p w:rsidR="000135AD" w:rsidRDefault="000135AD" w:rsidP="00A337B3">
      <w:pPr>
        <w:spacing w:after="0" w:line="240" w:lineRule="auto"/>
      </w:pPr>
      <w:r>
        <w:continuationSeparator/>
      </w:r>
    </w:p>
  </w:footnote>
  <w:footnote w:id="1">
    <w:p w:rsidR="000135AD" w:rsidRPr="0093245F" w:rsidRDefault="000135AD" w:rsidP="0093245F">
      <w:pPr>
        <w:pStyle w:val="Textonotapie"/>
        <w:jc w:val="both"/>
        <w:rPr>
          <w:sz w:val="16"/>
          <w:szCs w:val="16"/>
        </w:rPr>
      </w:pPr>
      <w:r>
        <w:rPr>
          <w:rStyle w:val="Refdenotaalpie"/>
        </w:rPr>
        <w:footnoteRef/>
      </w:r>
      <w:r>
        <w:t xml:space="preserve"> </w:t>
      </w:r>
      <w:r w:rsidRPr="0093245F">
        <w:rPr>
          <w:sz w:val="16"/>
          <w:szCs w:val="16"/>
        </w:rPr>
        <w:t>El art. 2.1 modific</w:t>
      </w:r>
      <w:r>
        <w:rPr>
          <w:sz w:val="16"/>
          <w:szCs w:val="16"/>
        </w:rPr>
        <w:t>ó</w:t>
      </w:r>
      <w:r w:rsidRPr="0093245F">
        <w:rPr>
          <w:sz w:val="16"/>
          <w:szCs w:val="16"/>
        </w:rPr>
        <w:t xml:space="preserve"> la letra d) del artículo 3 de la Ley del derecho a la vivienda, </w:t>
      </w:r>
      <w:r>
        <w:rPr>
          <w:sz w:val="16"/>
          <w:szCs w:val="16"/>
        </w:rPr>
        <w:t>en el sentido siguiente “</w:t>
      </w:r>
      <w:r w:rsidRPr="0093245F">
        <w:rPr>
          <w:sz w:val="16"/>
          <w:szCs w:val="16"/>
        </w:rPr>
        <w:t xml:space="preserve">d) </w:t>
      </w:r>
      <w:r w:rsidRPr="0093245F">
        <w:rPr>
          <w:i/>
          <w:sz w:val="16"/>
          <w:szCs w:val="16"/>
        </w:rPr>
        <w:t>Vivienda vacía: la vivienda que permanece desocupada permanentemente, sin causa justificada, por un plazo de más de dos años. A este efecto, son causas justificadas el traslado por razones laborales, el cambio de domicilio por una situación de dependencia, el abandono de la vivienda en una zona rural en proceso de pérdida de población y el hecho de que la propiedad de la vivienda sea objeto de un litigio judicial pendiente de resolución. La ocupación sin título legítimo no impide que se pueda considerar vacía una vivienda</w:t>
      </w:r>
      <w:r>
        <w:rPr>
          <w:sz w:val="16"/>
          <w:szCs w:val="16"/>
        </w:rPr>
        <w:t>"</w:t>
      </w:r>
      <w:r w:rsidRPr="0093245F">
        <w:rPr>
          <w:sz w:val="16"/>
          <w:szCs w:val="16"/>
        </w:rPr>
        <w:t>.</w:t>
      </w:r>
    </w:p>
  </w:footnote>
  <w:footnote w:id="2">
    <w:p w:rsidR="000135AD" w:rsidRPr="0093245F" w:rsidRDefault="000135AD" w:rsidP="0093245F">
      <w:pPr>
        <w:pStyle w:val="Textonotapie"/>
        <w:jc w:val="both"/>
        <w:rPr>
          <w:sz w:val="16"/>
          <w:szCs w:val="16"/>
        </w:rPr>
      </w:pPr>
      <w:r w:rsidRPr="0093245F">
        <w:rPr>
          <w:rStyle w:val="Refdenotaalpie"/>
          <w:sz w:val="16"/>
          <w:szCs w:val="16"/>
        </w:rPr>
        <w:footnoteRef/>
      </w:r>
      <w:r w:rsidRPr="0093245F">
        <w:rPr>
          <w:sz w:val="16"/>
          <w:szCs w:val="16"/>
        </w:rPr>
        <w:t xml:space="preserve"> El art. 2.2 del Decreto-ley 17/2019 modific</w:t>
      </w:r>
      <w:r>
        <w:rPr>
          <w:sz w:val="16"/>
          <w:szCs w:val="16"/>
        </w:rPr>
        <w:t>ó</w:t>
      </w:r>
      <w:r w:rsidRPr="0093245F">
        <w:rPr>
          <w:sz w:val="16"/>
          <w:szCs w:val="16"/>
        </w:rPr>
        <w:t xml:space="preserve"> el art. 5.2 b) de la Ley del derecho a la vivienda, definiendo como supuesto de «incumplimiento de la función social de la propiedad de una vivienda o un edificio de viviendas» que estas: «b) </w:t>
      </w:r>
      <w:r w:rsidRPr="0093245F">
        <w:rPr>
          <w:i/>
          <w:sz w:val="16"/>
          <w:szCs w:val="16"/>
        </w:rPr>
        <w:t>Permanezcan desocupadas de manera permanente e injustificada por un plazo de más de dos años. Ni la ocupación de estas viviendas sin título habilitante ni la transmisión de su titularidad alteran la situación de incumplimiento de la función social de la propiedad</w:t>
      </w:r>
      <w:r w:rsidRPr="0093245F">
        <w:rPr>
          <w:sz w:val="16"/>
          <w:szCs w:val="16"/>
        </w:rPr>
        <w:t>».</w:t>
      </w:r>
    </w:p>
  </w:footnote>
  <w:footnote w:id="3">
    <w:p w:rsidR="000135AD" w:rsidRPr="00376E93" w:rsidRDefault="000135AD" w:rsidP="00376E93">
      <w:pPr>
        <w:pStyle w:val="Textonotapie"/>
        <w:jc w:val="both"/>
      </w:pPr>
      <w:r w:rsidRPr="00376E93">
        <w:rPr>
          <w:rStyle w:val="Refdenotaalpie"/>
          <w:sz w:val="16"/>
          <w:szCs w:val="16"/>
        </w:rPr>
        <w:footnoteRef/>
      </w:r>
      <w:r w:rsidRPr="00376E93">
        <w:rPr>
          <w:sz w:val="16"/>
          <w:szCs w:val="16"/>
        </w:rPr>
        <w:t xml:space="preserve"> El</w:t>
      </w:r>
      <w:r>
        <w:t xml:space="preserve"> </w:t>
      </w:r>
      <w:r w:rsidRPr="00376E93">
        <w:rPr>
          <w:sz w:val="16"/>
          <w:szCs w:val="16"/>
        </w:rPr>
        <w:t xml:space="preserve">art. 2.3 </w:t>
      </w:r>
      <w:r>
        <w:rPr>
          <w:sz w:val="16"/>
          <w:szCs w:val="16"/>
        </w:rPr>
        <w:t>modificó</w:t>
      </w:r>
      <w:r w:rsidRPr="00376E93">
        <w:rPr>
          <w:sz w:val="16"/>
          <w:szCs w:val="16"/>
        </w:rPr>
        <w:t xml:space="preserve"> la letra d) de este art. 5.2 para definir como supuesto de incumplimiento de la función social la falta de ocupación de las viv</w:t>
      </w:r>
      <w:r>
        <w:rPr>
          <w:sz w:val="16"/>
          <w:szCs w:val="16"/>
        </w:rPr>
        <w:t>iendas de protección oficial: «</w:t>
      </w:r>
      <w:r w:rsidRPr="00376E93">
        <w:rPr>
          <w:i/>
          <w:sz w:val="16"/>
          <w:szCs w:val="16"/>
        </w:rPr>
        <w:t>existe incumplimiento de la función social de la propiedad de una vivienda o un edificio de viviendas en el supuesto de que: «d) No se destine a residencia habitual y permanente de personas, si es una vivienda con protección oficial o una vivienda reservada por el planeamiento urbanístico a este tipo de residencia</w:t>
      </w:r>
      <w:r w:rsidRPr="00376E93">
        <w:rPr>
          <w:sz w:val="16"/>
          <w:szCs w:val="16"/>
        </w:rPr>
        <w:t>».</w:t>
      </w:r>
    </w:p>
  </w:footnote>
  <w:footnote w:id="4">
    <w:p w:rsidR="000135AD" w:rsidRPr="00376E93" w:rsidRDefault="000135AD" w:rsidP="00376E93">
      <w:pPr>
        <w:pStyle w:val="Textonotapie"/>
        <w:jc w:val="both"/>
        <w:rPr>
          <w:sz w:val="16"/>
          <w:szCs w:val="16"/>
        </w:rPr>
      </w:pPr>
      <w:r w:rsidRPr="00376E93">
        <w:rPr>
          <w:sz w:val="16"/>
          <w:szCs w:val="16"/>
        </w:rPr>
        <w:footnoteRef/>
      </w:r>
      <w:r w:rsidRPr="00376E93">
        <w:rPr>
          <w:sz w:val="16"/>
          <w:szCs w:val="16"/>
        </w:rPr>
        <w:t xml:space="preserve"> </w:t>
      </w:r>
      <w:r>
        <w:rPr>
          <w:sz w:val="16"/>
          <w:szCs w:val="16"/>
        </w:rPr>
        <w:t xml:space="preserve">El art. </w:t>
      </w:r>
      <w:r w:rsidRPr="00376E93">
        <w:rPr>
          <w:sz w:val="16"/>
          <w:szCs w:val="16"/>
        </w:rPr>
        <w:t xml:space="preserve">2.4 </w:t>
      </w:r>
      <w:r>
        <w:rPr>
          <w:sz w:val="16"/>
          <w:szCs w:val="16"/>
        </w:rPr>
        <w:t>añadió</w:t>
      </w:r>
      <w:r w:rsidRPr="00376E93">
        <w:rPr>
          <w:sz w:val="16"/>
          <w:szCs w:val="16"/>
        </w:rPr>
        <w:t xml:space="preserve"> un apartado 2 bis al artículo 5 de la Ley del derecho a la vivienda, con la redacción siguiente: "</w:t>
      </w:r>
      <w:r w:rsidRPr="00376E93">
        <w:rPr>
          <w:i/>
          <w:sz w:val="16"/>
          <w:szCs w:val="16"/>
        </w:rPr>
        <w:t>2 bis. Los supuestos de las letras b) y d) del apartado 2 suponen un incumplimiento del deber de propiedad de las edificaciones de dedicarlas a usos compatibles con la ordenación territorial y urbanística</w:t>
      </w:r>
      <w:r w:rsidRPr="00376E93">
        <w:rPr>
          <w:sz w:val="16"/>
          <w:szCs w:val="16"/>
        </w:rPr>
        <w:t>".</w:t>
      </w:r>
    </w:p>
  </w:footnote>
  <w:footnote w:id="5">
    <w:p w:rsidR="000135AD" w:rsidRPr="00376E93" w:rsidRDefault="000135AD" w:rsidP="00376E93">
      <w:pPr>
        <w:pStyle w:val="Textonotapie"/>
        <w:jc w:val="both"/>
        <w:rPr>
          <w:sz w:val="16"/>
          <w:szCs w:val="16"/>
        </w:rPr>
      </w:pPr>
      <w:r w:rsidRPr="00376E93">
        <w:rPr>
          <w:rStyle w:val="Refdenotaalpie"/>
          <w:sz w:val="16"/>
          <w:szCs w:val="16"/>
        </w:rPr>
        <w:footnoteRef/>
      </w:r>
      <w:r w:rsidRPr="00376E93">
        <w:rPr>
          <w:sz w:val="16"/>
          <w:szCs w:val="16"/>
        </w:rPr>
        <w:t xml:space="preserve"> El art</w:t>
      </w:r>
      <w:r>
        <w:rPr>
          <w:sz w:val="16"/>
          <w:szCs w:val="16"/>
        </w:rPr>
        <w:t>. 2</w:t>
      </w:r>
      <w:r w:rsidRPr="00376E93">
        <w:rPr>
          <w:sz w:val="16"/>
          <w:szCs w:val="16"/>
        </w:rPr>
        <w:t xml:space="preserve">.5 </w:t>
      </w:r>
      <w:r>
        <w:rPr>
          <w:sz w:val="16"/>
          <w:szCs w:val="16"/>
        </w:rPr>
        <w:t>añadió</w:t>
      </w:r>
      <w:r w:rsidRPr="00376E93">
        <w:rPr>
          <w:sz w:val="16"/>
          <w:szCs w:val="16"/>
        </w:rPr>
        <w:t xml:space="preserve"> </w:t>
      </w:r>
      <w:r>
        <w:rPr>
          <w:sz w:val="16"/>
          <w:szCs w:val="16"/>
        </w:rPr>
        <w:t>el</w:t>
      </w:r>
      <w:r w:rsidRPr="00376E93">
        <w:rPr>
          <w:sz w:val="16"/>
          <w:szCs w:val="16"/>
        </w:rPr>
        <w:t xml:space="preserve"> párrafo segundo, al apartado 3 del artículo 5 de la Ley del derecho a la vivienda, con la redacción siguiente: "</w:t>
      </w:r>
      <w:r w:rsidRPr="00376E93">
        <w:rPr>
          <w:i/>
          <w:sz w:val="16"/>
          <w:szCs w:val="16"/>
        </w:rPr>
        <w:t>Sin embargo, las administraciones competentes pueden declarar el incumplimiento de la función social de la propiedad de las viviendas cuando, requeridos los propietarios para que adopten las medidas necesarias para cumplir con la función mencionada, estos incumplan el requerimiento en el plazo que se establezca. La declaración del incumplimiento de la función social puede comportar la adopción de las medidas de ejecución forzosa que la legislación en materia de vivienda establece y, en los supuestos del apartado 2 bis, las establecidas en la legislación en materia de suelo, incluida la expropiación forzosa en los casos establecidos legalmente</w:t>
      </w:r>
      <w:r w:rsidRPr="00376E93">
        <w:rPr>
          <w:sz w:val="16"/>
          <w:szCs w:val="16"/>
        </w:rPr>
        <w:t>".</w:t>
      </w:r>
    </w:p>
  </w:footnote>
  <w:footnote w:id="6">
    <w:p w:rsidR="000135AD" w:rsidRPr="00376E93" w:rsidRDefault="000135AD" w:rsidP="00376E93">
      <w:pPr>
        <w:pStyle w:val="Textonotapie"/>
        <w:jc w:val="both"/>
        <w:rPr>
          <w:sz w:val="16"/>
          <w:szCs w:val="16"/>
        </w:rPr>
      </w:pPr>
      <w:r w:rsidRPr="00376E93">
        <w:rPr>
          <w:rStyle w:val="Refdenotaalpie"/>
          <w:sz w:val="16"/>
          <w:szCs w:val="16"/>
        </w:rPr>
        <w:footnoteRef/>
      </w:r>
      <w:r w:rsidRPr="00376E93">
        <w:rPr>
          <w:sz w:val="16"/>
          <w:szCs w:val="16"/>
        </w:rPr>
        <w:t xml:space="preserve"> </w:t>
      </w:r>
      <w:r>
        <w:rPr>
          <w:sz w:val="16"/>
          <w:szCs w:val="16"/>
        </w:rPr>
        <w:t xml:space="preserve">El art. </w:t>
      </w:r>
      <w:r w:rsidRPr="00376E93">
        <w:rPr>
          <w:sz w:val="16"/>
          <w:szCs w:val="16"/>
        </w:rPr>
        <w:t xml:space="preserve">2.7 </w:t>
      </w:r>
      <w:r>
        <w:rPr>
          <w:sz w:val="16"/>
          <w:szCs w:val="16"/>
        </w:rPr>
        <w:t>modificó</w:t>
      </w:r>
      <w:r w:rsidRPr="00376E93">
        <w:rPr>
          <w:sz w:val="16"/>
          <w:szCs w:val="16"/>
        </w:rPr>
        <w:t xml:space="preserve"> la letra a) del apartado 1 del artículo 41 de la Ley del derecho a la vivienda, </w:t>
      </w:r>
      <w:r>
        <w:rPr>
          <w:sz w:val="16"/>
          <w:szCs w:val="16"/>
        </w:rPr>
        <w:t>del siguiente tenor:</w:t>
      </w:r>
      <w:r w:rsidRPr="00376E93">
        <w:rPr>
          <w:sz w:val="16"/>
          <w:szCs w:val="16"/>
        </w:rPr>
        <w:t xml:space="preserve"> "</w:t>
      </w:r>
      <w:r w:rsidRPr="00376E93">
        <w:rPr>
          <w:i/>
          <w:sz w:val="16"/>
          <w:szCs w:val="16"/>
        </w:rPr>
        <w:t>a) La desocupación permanente e injustificada a que hace referencia el artículo 5.2 b). Se asimila a esta utilización anómala la de los edificios inacabados con destinación final a vivienda, con más del ochenta por ciento de las obras de construcción ejecutadas, después de que hayan transcurrido más de dos años desde la conclusión del plazo máximo para acabarlos".</w:t>
      </w:r>
    </w:p>
  </w:footnote>
  <w:footnote w:id="7">
    <w:p w:rsidR="000135AD" w:rsidRDefault="000135AD" w:rsidP="00376E93">
      <w:pPr>
        <w:pStyle w:val="Textonotapie"/>
        <w:jc w:val="both"/>
        <w:rPr>
          <w:sz w:val="16"/>
          <w:szCs w:val="16"/>
        </w:rPr>
      </w:pPr>
      <w:r w:rsidRPr="00376E93">
        <w:rPr>
          <w:rStyle w:val="Refdenotaalpie"/>
          <w:sz w:val="16"/>
          <w:szCs w:val="16"/>
        </w:rPr>
        <w:footnoteRef/>
      </w:r>
      <w:r w:rsidRPr="00376E93">
        <w:rPr>
          <w:sz w:val="16"/>
          <w:szCs w:val="16"/>
        </w:rPr>
        <w:t xml:space="preserve"> </w:t>
      </w:r>
      <w:r>
        <w:rPr>
          <w:sz w:val="16"/>
          <w:szCs w:val="16"/>
        </w:rPr>
        <w:t xml:space="preserve">El art. modificó </w:t>
      </w:r>
      <w:r w:rsidRPr="00376E93">
        <w:rPr>
          <w:sz w:val="16"/>
          <w:szCs w:val="16"/>
        </w:rPr>
        <w:t>el artículo 41</w:t>
      </w:r>
      <w:r>
        <w:rPr>
          <w:sz w:val="16"/>
          <w:szCs w:val="16"/>
        </w:rPr>
        <w:t>.3</w:t>
      </w:r>
      <w:r w:rsidRPr="00376E93">
        <w:rPr>
          <w:sz w:val="16"/>
          <w:szCs w:val="16"/>
        </w:rPr>
        <w:t xml:space="preserve"> de la Ley del derecho a la vivienda, que qued</w:t>
      </w:r>
      <w:r>
        <w:rPr>
          <w:sz w:val="16"/>
          <w:szCs w:val="16"/>
        </w:rPr>
        <w:t>ó</w:t>
      </w:r>
      <w:r w:rsidRPr="00376E93">
        <w:rPr>
          <w:sz w:val="16"/>
          <w:szCs w:val="16"/>
        </w:rPr>
        <w:t xml:space="preserve">: </w:t>
      </w:r>
    </w:p>
    <w:p w:rsidR="000135AD" w:rsidRPr="00376E93" w:rsidRDefault="000135AD" w:rsidP="00376E93">
      <w:pPr>
        <w:pStyle w:val="Textonotapie"/>
        <w:jc w:val="both"/>
        <w:rPr>
          <w:i/>
          <w:sz w:val="16"/>
          <w:szCs w:val="16"/>
        </w:rPr>
      </w:pPr>
      <w:r w:rsidRPr="00376E93">
        <w:rPr>
          <w:sz w:val="16"/>
          <w:szCs w:val="16"/>
        </w:rPr>
        <w:t>"</w:t>
      </w:r>
      <w:r w:rsidRPr="00376E93">
        <w:rPr>
          <w:i/>
          <w:sz w:val="16"/>
          <w:szCs w:val="16"/>
        </w:rPr>
        <w:t xml:space="preserve">3. El Departamento competente en materia de vivienda y los municipios son competentes para: </w:t>
      </w:r>
    </w:p>
    <w:p w:rsidR="000135AD" w:rsidRPr="00376E93" w:rsidRDefault="000135AD" w:rsidP="00376E93">
      <w:pPr>
        <w:pStyle w:val="Textonotapie"/>
        <w:jc w:val="both"/>
        <w:rPr>
          <w:i/>
          <w:sz w:val="16"/>
          <w:szCs w:val="16"/>
        </w:rPr>
      </w:pPr>
      <w:r w:rsidRPr="00376E93">
        <w:rPr>
          <w:i/>
          <w:sz w:val="16"/>
          <w:szCs w:val="16"/>
        </w:rPr>
        <w:t>a) Instruir los procedimientos para comprobar si una vivienda o un edificio de viviendas se utilizan de una manera anómala o están en una situación anómala y, con la audiencia previa de las personas interesadas, declarar la utilización o situación anómala y requerir a la persona responsable para que adopte las medidas necesarias para corregir esta utilización o situación en el plazo que se establezca. En el requerimiento se tiene que advertir a la persona responsable de las posibles medidas a adoptar frente al incumplimiento, entre ellas, la imposición de las multas coercitivas previstas en esta Ley.</w:t>
      </w:r>
    </w:p>
    <w:p w:rsidR="000135AD" w:rsidRPr="00376E93" w:rsidRDefault="000135AD" w:rsidP="00376E93">
      <w:pPr>
        <w:pStyle w:val="Textonotapie"/>
        <w:rPr>
          <w:i/>
          <w:sz w:val="16"/>
          <w:szCs w:val="16"/>
        </w:rPr>
      </w:pPr>
      <w:r w:rsidRPr="00376E93">
        <w:rPr>
          <w:i/>
          <w:sz w:val="16"/>
          <w:szCs w:val="16"/>
        </w:rPr>
        <w:t>b) Ordenar la ejecución forzosa de las medidas necesarias para corregir la utilización o situación anómala y determinar el medio de ejecución.</w:t>
      </w:r>
    </w:p>
    <w:p w:rsidR="000135AD" w:rsidRPr="00376E93" w:rsidRDefault="000135AD" w:rsidP="00376E93">
      <w:pPr>
        <w:pStyle w:val="Textonotapie"/>
        <w:rPr>
          <w:i/>
          <w:sz w:val="16"/>
          <w:szCs w:val="16"/>
        </w:rPr>
      </w:pPr>
      <w:r w:rsidRPr="00376E93">
        <w:rPr>
          <w:i/>
          <w:sz w:val="16"/>
          <w:szCs w:val="16"/>
        </w:rPr>
        <w:t>c) Sancionar a la persona responsable cuando la utilización o la situación anómalas sean constitutivas de una infracción en materia de vivienda de acuerdo con esta Ley.</w:t>
      </w:r>
    </w:p>
    <w:p w:rsidR="000135AD" w:rsidRPr="00376E93" w:rsidRDefault="000135AD" w:rsidP="00376E93">
      <w:pPr>
        <w:pStyle w:val="Textonotapie"/>
        <w:rPr>
          <w:i/>
          <w:sz w:val="16"/>
          <w:szCs w:val="16"/>
        </w:rPr>
      </w:pPr>
      <w:r w:rsidRPr="00376E93">
        <w:rPr>
          <w:i/>
          <w:sz w:val="16"/>
          <w:szCs w:val="16"/>
        </w:rPr>
        <w:t>Los procedimientos mencionados caducan, una vez transcurrido el plazo máximo de seis meses para dictar la resolución, si esta no ha sido dictada y notificada. Este plazo queda interrumpido en los supuestos a que se refiere la legislación de procedimiento administrativo común, y por todo el tiempo que haga falta para hacer las notificaciones mediante edictos, si procede.</w:t>
      </w:r>
    </w:p>
    <w:p w:rsidR="000135AD" w:rsidRPr="00376E93" w:rsidRDefault="000135AD" w:rsidP="00376E93">
      <w:pPr>
        <w:pStyle w:val="Textonotapie"/>
        <w:rPr>
          <w:i/>
          <w:sz w:val="16"/>
          <w:szCs w:val="16"/>
        </w:rPr>
      </w:pPr>
      <w:r w:rsidRPr="00376E93">
        <w:rPr>
          <w:i/>
          <w:sz w:val="16"/>
          <w:szCs w:val="16"/>
        </w:rPr>
        <w:t>A menos que un municipio manifieste su voluntad de ejercer, con carácter general y preferente, las competencias mencionadas, el ejercicio de la competencia por parte de las administraciones mencionadas se concreta y coordina de manera concertada".</w:t>
      </w:r>
    </w:p>
  </w:footnote>
  <w:footnote w:id="8">
    <w:p w:rsidR="000135AD" w:rsidRPr="005E0615" w:rsidRDefault="000135AD" w:rsidP="005E0615">
      <w:pPr>
        <w:pStyle w:val="Textonotapie"/>
        <w:rPr>
          <w:sz w:val="16"/>
          <w:szCs w:val="16"/>
        </w:rPr>
      </w:pPr>
      <w:r>
        <w:rPr>
          <w:rStyle w:val="Refdenotaalpie"/>
        </w:rPr>
        <w:footnoteRef/>
      </w:r>
      <w:r>
        <w:t xml:space="preserve"> El art. </w:t>
      </w:r>
      <w:r w:rsidRPr="005E0615">
        <w:rPr>
          <w:sz w:val="16"/>
          <w:szCs w:val="16"/>
        </w:rPr>
        <w:t xml:space="preserve">2.9 </w:t>
      </w:r>
      <w:r>
        <w:rPr>
          <w:sz w:val="16"/>
          <w:szCs w:val="16"/>
        </w:rPr>
        <w:t xml:space="preserve">modificó </w:t>
      </w:r>
      <w:r w:rsidRPr="005E0615">
        <w:rPr>
          <w:sz w:val="16"/>
          <w:szCs w:val="16"/>
        </w:rPr>
        <w:t>el artículo 42</w:t>
      </w:r>
      <w:r>
        <w:rPr>
          <w:sz w:val="16"/>
          <w:szCs w:val="16"/>
        </w:rPr>
        <w:t>.1</w:t>
      </w:r>
      <w:r w:rsidRPr="005E0615">
        <w:rPr>
          <w:sz w:val="16"/>
          <w:szCs w:val="16"/>
        </w:rPr>
        <w:t xml:space="preserve"> de la Ley del derecho a la vivienda, que qued</w:t>
      </w:r>
      <w:r>
        <w:rPr>
          <w:sz w:val="16"/>
          <w:szCs w:val="16"/>
        </w:rPr>
        <w:t>ó</w:t>
      </w:r>
      <w:r w:rsidRPr="005E0615">
        <w:rPr>
          <w:sz w:val="16"/>
          <w:szCs w:val="16"/>
        </w:rPr>
        <w:t xml:space="preserve"> redactado:</w:t>
      </w:r>
    </w:p>
    <w:p w:rsidR="000135AD" w:rsidRPr="005E0615" w:rsidRDefault="000135AD" w:rsidP="005E0615">
      <w:pPr>
        <w:pStyle w:val="Textonotapie"/>
        <w:jc w:val="both"/>
        <w:rPr>
          <w:sz w:val="16"/>
          <w:szCs w:val="16"/>
        </w:rPr>
      </w:pPr>
      <w:r w:rsidRPr="005E0615">
        <w:rPr>
          <w:i/>
        </w:rPr>
        <w:t>"</w:t>
      </w:r>
      <w:r w:rsidRPr="005E0615">
        <w:rPr>
          <w:i/>
          <w:sz w:val="16"/>
          <w:szCs w:val="16"/>
        </w:rPr>
        <w:t>1. La Generalitat, en coordinación, si procede, con las administraciones locales, tienen que impulsar políticas de fomento para potenciar la incorporación al mercado, preferentemente de alquiler, de las viviendas vacías o permanentemente desocupadas. Con esta finalidad, deben velar para evitar situaciones de desocupación permanente de viviendas y aprobar los programas de inspección correspondientes</w:t>
      </w:r>
      <w:r w:rsidRPr="0093245F">
        <w:rPr>
          <w:sz w:val="16"/>
          <w:szCs w:val="16"/>
        </w:rPr>
        <w:t>".</w:t>
      </w:r>
    </w:p>
  </w:footnote>
  <w:footnote w:id="9">
    <w:p w:rsidR="000135AD" w:rsidRDefault="000135AD" w:rsidP="005E0615">
      <w:pPr>
        <w:pStyle w:val="Textonotapie"/>
        <w:jc w:val="both"/>
        <w:rPr>
          <w:sz w:val="16"/>
          <w:szCs w:val="16"/>
        </w:rPr>
      </w:pPr>
      <w:r w:rsidRPr="005E0615">
        <w:rPr>
          <w:rStyle w:val="Refdenotaalpie"/>
          <w:sz w:val="16"/>
          <w:szCs w:val="16"/>
        </w:rPr>
        <w:footnoteRef/>
      </w:r>
      <w:r w:rsidRPr="005E0615">
        <w:rPr>
          <w:sz w:val="16"/>
          <w:szCs w:val="16"/>
        </w:rPr>
        <w:t xml:space="preserve"> </w:t>
      </w:r>
      <w:r>
        <w:rPr>
          <w:sz w:val="16"/>
          <w:szCs w:val="16"/>
        </w:rPr>
        <w:t xml:space="preserve">El art. </w:t>
      </w:r>
      <w:r w:rsidRPr="0093245F">
        <w:rPr>
          <w:sz w:val="16"/>
          <w:szCs w:val="16"/>
        </w:rPr>
        <w:t xml:space="preserve">2.10 </w:t>
      </w:r>
      <w:r>
        <w:rPr>
          <w:sz w:val="16"/>
          <w:szCs w:val="16"/>
        </w:rPr>
        <w:t>añadió</w:t>
      </w:r>
      <w:r w:rsidRPr="0093245F">
        <w:rPr>
          <w:sz w:val="16"/>
          <w:szCs w:val="16"/>
        </w:rPr>
        <w:t xml:space="preserve"> tres nuevos apartados</w:t>
      </w:r>
      <w:r>
        <w:rPr>
          <w:sz w:val="16"/>
          <w:szCs w:val="16"/>
        </w:rPr>
        <w:t xml:space="preserve"> </w:t>
      </w:r>
      <w:r w:rsidRPr="0093245F">
        <w:rPr>
          <w:sz w:val="16"/>
          <w:szCs w:val="16"/>
        </w:rPr>
        <w:t>al artículo 42 de la Ley del</w:t>
      </w:r>
      <w:r>
        <w:rPr>
          <w:sz w:val="16"/>
          <w:szCs w:val="16"/>
        </w:rPr>
        <w:t xml:space="preserve"> </w:t>
      </w:r>
      <w:r w:rsidRPr="0093245F">
        <w:rPr>
          <w:sz w:val="16"/>
          <w:szCs w:val="16"/>
        </w:rPr>
        <w:t>derecho a la vivienda</w:t>
      </w:r>
      <w:r>
        <w:rPr>
          <w:sz w:val="16"/>
          <w:szCs w:val="16"/>
        </w:rPr>
        <w:t>:</w:t>
      </w:r>
    </w:p>
    <w:p w:rsidR="000135AD" w:rsidRPr="005E0615" w:rsidRDefault="000135AD" w:rsidP="005E0615">
      <w:pPr>
        <w:pStyle w:val="Textonotapie"/>
        <w:jc w:val="both"/>
        <w:rPr>
          <w:i/>
          <w:sz w:val="16"/>
          <w:szCs w:val="16"/>
        </w:rPr>
      </w:pPr>
      <w:r w:rsidRPr="005E0615">
        <w:rPr>
          <w:i/>
          <w:sz w:val="16"/>
          <w:szCs w:val="16"/>
        </w:rPr>
        <w:t>"6. Sin embargo, en el caso de viviendas titularidad de personas jurídicas privadas, cuando la administración requiera a la persona responsable que adopte las medidas necesarias para ocupar legal y efectivamente una o varias viviendas con el fin de que constituyan la residencia de personas, tiene que advertirle en la misma resolución que, si la vivienda no se ocupa legal y efectivamente en el plazo que establezca, se podrá exigir la ejecución forzosa de las medidas requeridas mediante la imposición de una multa coercitiva de mil euros por cada vivienda por lapsos de tiempo de un mes mientras permanezcan desocupadas, con un importe máximo total del 50 por 100 del precio estimado de la vivienda. En la situación asimilada relativa a los edificios de viviendas inacabadas, el requerimiento mencionado debe incluir las medidas necesarias para acabar previamente las obras de edificación.</w:t>
      </w:r>
    </w:p>
    <w:p w:rsidR="000135AD" w:rsidRPr="005E0615" w:rsidRDefault="000135AD" w:rsidP="005E0615">
      <w:pPr>
        <w:pStyle w:val="Textonotapie"/>
        <w:jc w:val="both"/>
        <w:rPr>
          <w:i/>
          <w:sz w:val="16"/>
          <w:szCs w:val="16"/>
        </w:rPr>
      </w:pPr>
      <w:r w:rsidRPr="005E0615">
        <w:rPr>
          <w:i/>
          <w:sz w:val="16"/>
          <w:szCs w:val="16"/>
        </w:rPr>
        <w:t>7. En los supuestos establecidos legalmente, la advertencia a que hace referencia el apartado 6 tiene que incluir la posibilidad de declarar el incumplimiento de la función social de la propiedad a efectos de iniciar el procedimiento para su expropiación forzosa.</w:t>
      </w:r>
    </w:p>
    <w:p w:rsidR="000135AD" w:rsidRPr="005E0615" w:rsidRDefault="000135AD" w:rsidP="005E0615">
      <w:pPr>
        <w:pStyle w:val="Textonotapie"/>
        <w:jc w:val="both"/>
        <w:rPr>
          <w:sz w:val="16"/>
          <w:szCs w:val="16"/>
        </w:rPr>
      </w:pPr>
      <w:r w:rsidRPr="005E0615">
        <w:rPr>
          <w:i/>
          <w:sz w:val="16"/>
          <w:szCs w:val="16"/>
        </w:rPr>
        <w:t>8. En el caso de transmisión de la vivienda, el nuevo propietario se subroga en la posición del anterior a efectos de asumir las consecuencias del incumplimiento de la función social de la propiedad, con independencia de cuándo se inició la desocupación".</w:t>
      </w:r>
    </w:p>
  </w:footnote>
  <w:footnote w:id="10">
    <w:p w:rsidR="000135AD" w:rsidRDefault="000135AD" w:rsidP="005E0615">
      <w:pPr>
        <w:pStyle w:val="Textonotapie"/>
        <w:rPr>
          <w:sz w:val="16"/>
          <w:szCs w:val="16"/>
        </w:rPr>
      </w:pPr>
      <w:r w:rsidRPr="005E0615">
        <w:rPr>
          <w:rStyle w:val="Refdenotaalpie"/>
          <w:sz w:val="16"/>
          <w:szCs w:val="16"/>
        </w:rPr>
        <w:footnoteRef/>
      </w:r>
      <w:r w:rsidRPr="005E0615">
        <w:rPr>
          <w:sz w:val="16"/>
          <w:szCs w:val="16"/>
        </w:rPr>
        <w:t xml:space="preserve"> </w:t>
      </w:r>
      <w:r>
        <w:rPr>
          <w:sz w:val="16"/>
          <w:szCs w:val="16"/>
        </w:rPr>
        <w:t xml:space="preserve">El art. </w:t>
      </w:r>
      <w:r w:rsidRPr="005E0615">
        <w:rPr>
          <w:sz w:val="16"/>
          <w:szCs w:val="16"/>
        </w:rPr>
        <w:t xml:space="preserve">2.11 </w:t>
      </w:r>
      <w:r>
        <w:rPr>
          <w:sz w:val="16"/>
          <w:szCs w:val="16"/>
        </w:rPr>
        <w:t xml:space="preserve">modificó </w:t>
      </w:r>
      <w:r w:rsidRPr="005E0615">
        <w:rPr>
          <w:sz w:val="16"/>
          <w:szCs w:val="16"/>
        </w:rPr>
        <w:t>los apartados 1 y 2 del artículo 113 de la Ley del derecho a la vivienda</w:t>
      </w:r>
      <w:r>
        <w:rPr>
          <w:sz w:val="16"/>
          <w:szCs w:val="16"/>
        </w:rPr>
        <w:t>:</w:t>
      </w:r>
    </w:p>
    <w:p w:rsidR="000135AD" w:rsidRPr="008D2FFE" w:rsidRDefault="000135AD" w:rsidP="008D2FFE">
      <w:pPr>
        <w:pStyle w:val="Textonotapie"/>
        <w:jc w:val="both"/>
        <w:rPr>
          <w:i/>
          <w:sz w:val="16"/>
          <w:szCs w:val="16"/>
        </w:rPr>
      </w:pPr>
      <w:r w:rsidRPr="008D2FFE">
        <w:rPr>
          <w:i/>
          <w:sz w:val="16"/>
          <w:szCs w:val="16"/>
        </w:rPr>
        <w:t>"1. La administración que requiera a la persona obligada para que lleve a cabo o deje de hacer una acción de acuerdo con esta Ley, en caso de incumplimiento del requerimiento en el plazo que se establezca, puede imponer multas coercitivas para su ejecución forzosa, reiteradas por lapsos de tiempo que sean suficientes para cumplir lo que haya ordenado. La multa coercitiva es independiente y compatible con la sanción que corresponda por la infracción administrativa en materia de vivienda que se haya podido cometer.</w:t>
      </w:r>
    </w:p>
    <w:p w:rsidR="000135AD" w:rsidRPr="008D2FFE" w:rsidRDefault="000135AD" w:rsidP="008D2FFE">
      <w:pPr>
        <w:pStyle w:val="Textonotapie"/>
        <w:jc w:val="both"/>
        <w:rPr>
          <w:i/>
          <w:sz w:val="16"/>
          <w:szCs w:val="16"/>
        </w:rPr>
      </w:pPr>
      <w:r w:rsidRPr="008D2FFE">
        <w:rPr>
          <w:i/>
          <w:sz w:val="16"/>
          <w:szCs w:val="16"/>
        </w:rPr>
        <w:t>2. El importe máximo total de las multas coercitivas relacionadas con la ejecución forzosa de obras no puede superar el 50 por 100 del coste estimado para ejecutarlas. En otros supuestos, el importe mencionado no puede superar el 50 por 100 de la multa sancionadora establecida para el tipo de infracción cometida, sin perjuicio del supuesto a que hace referencia el artículo 42.6".</w:t>
      </w:r>
    </w:p>
  </w:footnote>
  <w:footnote w:id="11">
    <w:p w:rsidR="000135AD" w:rsidRPr="008D2FFE" w:rsidRDefault="000135AD" w:rsidP="008D2FFE">
      <w:pPr>
        <w:pStyle w:val="Textonotapie"/>
        <w:jc w:val="both"/>
        <w:rPr>
          <w:sz w:val="16"/>
          <w:szCs w:val="16"/>
        </w:rPr>
      </w:pPr>
      <w:r w:rsidRPr="008D2FFE">
        <w:rPr>
          <w:rStyle w:val="Refdenotaalpie"/>
          <w:sz w:val="16"/>
          <w:szCs w:val="16"/>
        </w:rPr>
        <w:footnoteRef/>
      </w:r>
      <w:r w:rsidRPr="008D2FFE">
        <w:rPr>
          <w:sz w:val="16"/>
          <w:szCs w:val="16"/>
        </w:rPr>
        <w:t xml:space="preserve"> </w:t>
      </w:r>
      <w:r>
        <w:rPr>
          <w:sz w:val="16"/>
          <w:szCs w:val="16"/>
        </w:rPr>
        <w:t xml:space="preserve">El art. </w:t>
      </w:r>
      <w:r w:rsidRPr="008D2FFE">
        <w:rPr>
          <w:sz w:val="16"/>
          <w:szCs w:val="16"/>
        </w:rPr>
        <w:t xml:space="preserve">2.12 </w:t>
      </w:r>
      <w:r>
        <w:rPr>
          <w:sz w:val="16"/>
          <w:szCs w:val="16"/>
        </w:rPr>
        <w:t xml:space="preserve">modificó </w:t>
      </w:r>
      <w:r w:rsidRPr="008D2FFE">
        <w:rPr>
          <w:sz w:val="16"/>
          <w:szCs w:val="16"/>
        </w:rPr>
        <w:t>el artículo 123</w:t>
      </w:r>
      <w:r>
        <w:rPr>
          <w:sz w:val="16"/>
          <w:szCs w:val="16"/>
        </w:rPr>
        <w:t>.1.h)</w:t>
      </w:r>
      <w:r w:rsidRPr="008D2FFE">
        <w:rPr>
          <w:sz w:val="16"/>
          <w:szCs w:val="16"/>
        </w:rPr>
        <w:t xml:space="preserve"> de la Ley del derecho a la vivienda, </w:t>
      </w:r>
      <w:r>
        <w:rPr>
          <w:sz w:val="16"/>
          <w:szCs w:val="16"/>
        </w:rPr>
        <w:t>del siguiente tenor</w:t>
      </w:r>
      <w:r w:rsidRPr="008D2FFE">
        <w:rPr>
          <w:sz w:val="16"/>
          <w:szCs w:val="16"/>
        </w:rPr>
        <w:t>: "h</w:t>
      </w:r>
      <w:r w:rsidRPr="00E61965">
        <w:rPr>
          <w:i/>
          <w:sz w:val="16"/>
          <w:szCs w:val="16"/>
        </w:rPr>
        <w:t>) Incumplir un requerimiento para que se ocupe legal y efectivamente una vivienda con el fin de que constituya la residencia de personas</w:t>
      </w:r>
      <w:r w:rsidRPr="008D2FFE">
        <w:rPr>
          <w:sz w:val="16"/>
          <w:szCs w:val="16"/>
        </w:rPr>
        <w:t>"».</w:t>
      </w:r>
    </w:p>
  </w:footnote>
  <w:footnote w:id="12">
    <w:p w:rsidR="000135AD" w:rsidRPr="00E61965" w:rsidRDefault="000135AD" w:rsidP="00E61965">
      <w:pPr>
        <w:pStyle w:val="Textonotapie"/>
        <w:jc w:val="both"/>
        <w:rPr>
          <w:sz w:val="16"/>
          <w:szCs w:val="16"/>
        </w:rPr>
      </w:pPr>
      <w:r w:rsidRPr="00E61965">
        <w:rPr>
          <w:rStyle w:val="Refdenotaalpie"/>
          <w:sz w:val="16"/>
          <w:szCs w:val="16"/>
        </w:rPr>
        <w:footnoteRef/>
      </w:r>
      <w:r w:rsidRPr="00E61965">
        <w:rPr>
          <w:sz w:val="16"/>
          <w:szCs w:val="16"/>
        </w:rPr>
        <w:t xml:space="preserve"> </w:t>
      </w:r>
      <w:r>
        <w:rPr>
          <w:sz w:val="16"/>
          <w:szCs w:val="16"/>
        </w:rPr>
        <w:t>E</w:t>
      </w:r>
      <w:r w:rsidRPr="00E61965">
        <w:rPr>
          <w:sz w:val="16"/>
          <w:szCs w:val="16"/>
        </w:rPr>
        <w:t xml:space="preserve">l art. 5.5, impugnado dentro de este primer grupo de preceptos, </w:t>
      </w:r>
      <w:r>
        <w:rPr>
          <w:sz w:val="16"/>
          <w:szCs w:val="16"/>
        </w:rPr>
        <w:t>añadió una letr</w:t>
      </w:r>
      <w:r w:rsidRPr="00E61965">
        <w:rPr>
          <w:sz w:val="16"/>
          <w:szCs w:val="16"/>
        </w:rPr>
        <w:t>a c) al artículo 7</w:t>
      </w:r>
      <w:r>
        <w:rPr>
          <w:sz w:val="16"/>
          <w:szCs w:val="16"/>
        </w:rPr>
        <w:t>.1</w:t>
      </w:r>
      <w:r w:rsidRPr="00E61965">
        <w:rPr>
          <w:sz w:val="16"/>
          <w:szCs w:val="16"/>
        </w:rPr>
        <w:t xml:space="preserve"> de la Ley de medidas urgentes para afrontar la emergencia en el ámbito de la v</w:t>
      </w:r>
      <w:r>
        <w:rPr>
          <w:sz w:val="16"/>
          <w:szCs w:val="16"/>
        </w:rPr>
        <w:t>ivienda y la pobreza energética</w:t>
      </w:r>
      <w:r w:rsidRPr="00E61965">
        <w:rPr>
          <w:sz w:val="16"/>
          <w:szCs w:val="16"/>
        </w:rPr>
        <w:t>:</w:t>
      </w:r>
    </w:p>
    <w:p w:rsidR="000135AD" w:rsidRPr="00E61965" w:rsidRDefault="000135AD" w:rsidP="00E61965">
      <w:pPr>
        <w:pStyle w:val="Textonotapie"/>
        <w:jc w:val="both"/>
        <w:rPr>
          <w:i/>
          <w:sz w:val="16"/>
          <w:szCs w:val="16"/>
        </w:rPr>
      </w:pPr>
      <w:r w:rsidRPr="00E61965">
        <w:rPr>
          <w:i/>
          <w:sz w:val="16"/>
          <w:szCs w:val="16"/>
        </w:rPr>
        <w:t>"c) Que el propietario haya incumplido el requerimiento relativo a la obligación de que la vivienda esté ocupada legalmente para constituir la residencia de las personas, en que se advertía que, si no acreditaba la ocupación en un plazo máximo de un mes, se podría declarar el incumplimiento de la función social de la vivienda a efectos de iniciar el procedimiento para su cesión obligatoria en los términos que regula este artículo".</w:t>
      </w:r>
    </w:p>
  </w:footnote>
  <w:footnote w:id="13">
    <w:p w:rsidR="000135AD" w:rsidRPr="00E61965" w:rsidRDefault="000135AD" w:rsidP="00E61965">
      <w:pPr>
        <w:pStyle w:val="Textonotapie"/>
        <w:jc w:val="both"/>
        <w:rPr>
          <w:sz w:val="16"/>
          <w:szCs w:val="16"/>
        </w:rPr>
      </w:pPr>
      <w:r w:rsidRPr="00E61965">
        <w:rPr>
          <w:sz w:val="16"/>
          <w:szCs w:val="16"/>
        </w:rPr>
        <w:footnoteRef/>
      </w:r>
      <w:r w:rsidRPr="00E61965">
        <w:rPr>
          <w:sz w:val="16"/>
          <w:szCs w:val="16"/>
        </w:rPr>
        <w:t xml:space="preserve"> </w:t>
      </w:r>
      <w:r>
        <w:rPr>
          <w:sz w:val="16"/>
          <w:szCs w:val="16"/>
        </w:rPr>
        <w:t>El</w:t>
      </w:r>
      <w:r w:rsidRPr="00E61965">
        <w:rPr>
          <w:sz w:val="16"/>
          <w:szCs w:val="16"/>
        </w:rPr>
        <w:t xml:space="preserve"> art. 4.2, </w:t>
      </w:r>
      <w:r>
        <w:rPr>
          <w:sz w:val="16"/>
          <w:szCs w:val="16"/>
        </w:rPr>
        <w:t xml:space="preserve">modificó el art. 5.f) </w:t>
      </w:r>
      <w:r w:rsidRPr="00E61965">
        <w:rPr>
          <w:sz w:val="16"/>
          <w:szCs w:val="16"/>
        </w:rPr>
        <w:t>de la Ley del derecho a la vivienda para reconocer como supuesto de</w:t>
      </w:r>
      <w:r>
        <w:rPr>
          <w:sz w:val="16"/>
          <w:szCs w:val="16"/>
        </w:rPr>
        <w:t xml:space="preserve"> </w:t>
      </w:r>
      <w:r w:rsidRPr="00E61965">
        <w:rPr>
          <w:sz w:val="16"/>
          <w:szCs w:val="16"/>
        </w:rPr>
        <w:t>incumplimiento de la función social de la propiedad de una vivienda que:</w:t>
      </w:r>
      <w:r>
        <w:rPr>
          <w:sz w:val="16"/>
          <w:szCs w:val="16"/>
        </w:rPr>
        <w:t xml:space="preserve"> </w:t>
      </w:r>
      <w:r w:rsidRPr="00E61965">
        <w:rPr>
          <w:sz w:val="16"/>
          <w:szCs w:val="16"/>
        </w:rPr>
        <w:t>«</w:t>
      </w:r>
      <w:r w:rsidRPr="00321D4B">
        <w:rPr>
          <w:i/>
          <w:sz w:val="16"/>
          <w:szCs w:val="16"/>
        </w:rPr>
        <w:t>Se incumpla la obligación de ofrecer una propuesta de alquiler social antes de interponer una demanda judicial en los términos que establece la Ley 24/2015, de 29 de julio, de medidas urgentes para afrontar la emergencia en el ámbito de la vivienda y la pobreza energética</w:t>
      </w:r>
      <w:r w:rsidRPr="00E61965">
        <w:rPr>
          <w:sz w:val="16"/>
          <w:szCs w:val="16"/>
        </w:rPr>
        <w:t>».</w:t>
      </w:r>
    </w:p>
  </w:footnote>
  <w:footnote w:id="14">
    <w:p w:rsidR="000135AD" w:rsidRPr="00321D4B" w:rsidRDefault="000135AD" w:rsidP="00321D4B">
      <w:pPr>
        <w:pStyle w:val="Textonotapie"/>
        <w:jc w:val="both"/>
        <w:rPr>
          <w:sz w:val="16"/>
          <w:szCs w:val="16"/>
        </w:rPr>
      </w:pPr>
      <w:r w:rsidRPr="00321D4B">
        <w:rPr>
          <w:sz w:val="16"/>
          <w:szCs w:val="16"/>
        </w:rPr>
        <w:footnoteRef/>
      </w:r>
      <w:r w:rsidRPr="00321D4B">
        <w:rPr>
          <w:sz w:val="16"/>
          <w:szCs w:val="16"/>
        </w:rPr>
        <w:t xml:space="preserve"> </w:t>
      </w:r>
      <w:r>
        <w:rPr>
          <w:sz w:val="16"/>
          <w:szCs w:val="16"/>
        </w:rPr>
        <w:t>El artículo 5.6 añadió un nuevo artículo</w:t>
      </w:r>
      <w:r w:rsidRPr="00321D4B">
        <w:rPr>
          <w:sz w:val="16"/>
          <w:szCs w:val="16"/>
        </w:rPr>
        <w:t xml:space="preserve"> 10 a la Ley de medidas urgentes para afrontar</w:t>
      </w:r>
      <w:r>
        <w:rPr>
          <w:sz w:val="16"/>
          <w:szCs w:val="16"/>
        </w:rPr>
        <w:t xml:space="preserve"> </w:t>
      </w:r>
      <w:r w:rsidRPr="00321D4B">
        <w:rPr>
          <w:sz w:val="16"/>
          <w:szCs w:val="16"/>
        </w:rPr>
        <w:t>la emergencia en el ámbito de la vivienda y la pobreza energética</w:t>
      </w:r>
      <w:r>
        <w:rPr>
          <w:sz w:val="16"/>
          <w:szCs w:val="16"/>
        </w:rPr>
        <w:t xml:space="preserve">, del </w:t>
      </w:r>
      <w:r w:rsidRPr="00321D4B">
        <w:rPr>
          <w:sz w:val="16"/>
          <w:szCs w:val="16"/>
        </w:rPr>
        <w:t>siguiente</w:t>
      </w:r>
      <w:r>
        <w:rPr>
          <w:sz w:val="16"/>
          <w:szCs w:val="16"/>
        </w:rPr>
        <w:t xml:space="preserve"> tenor</w:t>
      </w:r>
      <w:r w:rsidRPr="00321D4B">
        <w:rPr>
          <w:sz w:val="16"/>
          <w:szCs w:val="16"/>
        </w:rPr>
        <w:t>:</w:t>
      </w:r>
    </w:p>
    <w:p w:rsidR="000135AD" w:rsidRPr="00321D4B" w:rsidRDefault="000135AD" w:rsidP="00321D4B">
      <w:pPr>
        <w:pStyle w:val="Textonotapie"/>
        <w:jc w:val="both"/>
        <w:rPr>
          <w:i/>
          <w:sz w:val="16"/>
          <w:szCs w:val="16"/>
        </w:rPr>
      </w:pPr>
      <w:r w:rsidRPr="00321D4B">
        <w:rPr>
          <w:sz w:val="16"/>
          <w:szCs w:val="16"/>
        </w:rPr>
        <w:t>"</w:t>
      </w:r>
      <w:r w:rsidRPr="00321D4B">
        <w:rPr>
          <w:i/>
          <w:sz w:val="16"/>
          <w:szCs w:val="16"/>
        </w:rPr>
        <w:t>Artículo 10. Renovación de los contratos de alquiler social obligatorio.</w:t>
      </w:r>
    </w:p>
    <w:p w:rsidR="000135AD" w:rsidRPr="00321D4B" w:rsidRDefault="000135AD" w:rsidP="00321D4B">
      <w:pPr>
        <w:pStyle w:val="Textonotapie"/>
        <w:jc w:val="both"/>
        <w:rPr>
          <w:sz w:val="16"/>
          <w:szCs w:val="16"/>
        </w:rPr>
      </w:pPr>
      <w:r w:rsidRPr="00321D4B">
        <w:rPr>
          <w:i/>
          <w:sz w:val="16"/>
          <w:szCs w:val="16"/>
        </w:rPr>
        <w:t>En los casos de alquiler social que lleguen al fin del plazo contractual marcado, las personas o unidades familiares afectadas tienen derecho a la formalización, por una única vez, de un nuevo contrato según las condiciones que establece la ley, siempre que se sigan encontrando dentro de los parámetros de exclusión residencial establecidos en el artículo 5.7 y así sea acreditado por los propios afectados. A este efecto, el titular de la vivienda tiene que requerir a los afectados para que presenten la documentación que lo corrobore con una antelación de cuatro meses antes de la fecha de expiración del contrato".</w:t>
      </w:r>
    </w:p>
  </w:footnote>
  <w:footnote w:id="15">
    <w:p w:rsidR="000135AD" w:rsidRDefault="000135AD" w:rsidP="00321D4B">
      <w:pPr>
        <w:pStyle w:val="Textonotapie"/>
        <w:jc w:val="both"/>
        <w:rPr>
          <w:sz w:val="16"/>
          <w:szCs w:val="16"/>
        </w:rPr>
      </w:pPr>
      <w:r w:rsidRPr="00321D4B">
        <w:rPr>
          <w:sz w:val="16"/>
          <w:szCs w:val="16"/>
        </w:rPr>
        <w:footnoteRef/>
      </w:r>
      <w:r w:rsidRPr="00321D4B">
        <w:rPr>
          <w:sz w:val="16"/>
          <w:szCs w:val="16"/>
        </w:rPr>
        <w:t xml:space="preserve"> El art. 5.7 añadió la D. A. primera a la Ley de medidas urgentes para afrontar la emergencia en el ámbito de la vivienda y la pobreza energética</w:t>
      </w:r>
      <w:r>
        <w:rPr>
          <w:sz w:val="16"/>
          <w:szCs w:val="16"/>
        </w:rPr>
        <w:t>, que regula la oferta de propuesta de alquiler social:</w:t>
      </w:r>
    </w:p>
    <w:p w:rsidR="000135AD" w:rsidRPr="00321D4B" w:rsidRDefault="000135AD" w:rsidP="00321D4B">
      <w:pPr>
        <w:pStyle w:val="Textonotapie"/>
        <w:jc w:val="both"/>
        <w:rPr>
          <w:i/>
          <w:sz w:val="16"/>
          <w:szCs w:val="16"/>
        </w:rPr>
      </w:pPr>
      <w:r>
        <w:rPr>
          <w:i/>
          <w:sz w:val="16"/>
          <w:szCs w:val="16"/>
        </w:rPr>
        <w:t>“</w:t>
      </w:r>
      <w:r w:rsidRPr="00321D4B">
        <w:rPr>
          <w:i/>
          <w:sz w:val="16"/>
          <w:szCs w:val="16"/>
        </w:rPr>
        <w:t>1. La obligación a que hace referencia el artículo 5.2, de ofrecer una propuesta de alquiler social antes de interponer determinadas demandas judiciales, se hace extensiva en los mismos términos a cualquier acción ejecutiva derivada de la reclamación de una deuda hipotecaria y a las demandas de desahucio siguientes:</w:t>
      </w:r>
    </w:p>
    <w:p w:rsidR="000135AD" w:rsidRPr="00321D4B" w:rsidRDefault="000135AD" w:rsidP="00321D4B">
      <w:pPr>
        <w:pStyle w:val="Textonotapie"/>
        <w:jc w:val="both"/>
        <w:rPr>
          <w:i/>
          <w:sz w:val="16"/>
          <w:szCs w:val="16"/>
        </w:rPr>
      </w:pPr>
      <w:r w:rsidRPr="00321D4B">
        <w:rPr>
          <w:i/>
          <w:sz w:val="16"/>
          <w:szCs w:val="16"/>
        </w:rPr>
        <w:t>a) Por vencimiento de la duración del título jurídico que habilita la ocupación de la vivienda. La propuesta de alquiler social es exigible durante un periodo de tres años contadores a partir de la entrada en vigor del Decreto-ley de 23 de diciembre de 2019, de medidas urgentes para mejorar el acceso a la vivienda.</w:t>
      </w:r>
    </w:p>
    <w:p w:rsidR="000135AD" w:rsidRPr="00321D4B" w:rsidRDefault="000135AD" w:rsidP="00321D4B">
      <w:pPr>
        <w:pStyle w:val="Textonotapie"/>
        <w:jc w:val="both"/>
        <w:rPr>
          <w:i/>
          <w:sz w:val="16"/>
          <w:szCs w:val="16"/>
        </w:rPr>
      </w:pPr>
      <w:r w:rsidRPr="00321D4B">
        <w:rPr>
          <w:i/>
          <w:sz w:val="16"/>
          <w:szCs w:val="16"/>
        </w:rPr>
        <w:t>b) Por falta de título jurídico que habilite la ocupación, cuando el demandante tenga la condición de gran tenedor de acuerdo con la letra a) del apartado 9 del artículo 5 y con la letra a) del apartado 3 de esta disposición, siempre que concurran las circunstancias siguientes:</w:t>
      </w:r>
    </w:p>
    <w:p w:rsidR="000135AD" w:rsidRPr="00321D4B" w:rsidRDefault="000135AD" w:rsidP="00321D4B">
      <w:pPr>
        <w:pStyle w:val="Textonotapie"/>
        <w:jc w:val="both"/>
        <w:rPr>
          <w:i/>
          <w:sz w:val="16"/>
          <w:szCs w:val="16"/>
        </w:rPr>
      </w:pPr>
      <w:r w:rsidRPr="00321D4B">
        <w:rPr>
          <w:i/>
          <w:sz w:val="16"/>
          <w:szCs w:val="16"/>
        </w:rPr>
        <w:t>1.º Que la vivienda se encuentre en la situación de utilización anómala a que hace referencia el artículo 41.1 a) de la Ley 18/2007, de 28 de diciembre, del derecho a la vivienda.</w:t>
      </w:r>
    </w:p>
    <w:p w:rsidR="000135AD" w:rsidRPr="00321D4B" w:rsidRDefault="000135AD" w:rsidP="00321D4B">
      <w:pPr>
        <w:pStyle w:val="Textonotapie"/>
        <w:jc w:val="both"/>
        <w:rPr>
          <w:i/>
          <w:sz w:val="16"/>
          <w:szCs w:val="16"/>
        </w:rPr>
      </w:pPr>
      <w:r w:rsidRPr="00321D4B">
        <w:rPr>
          <w:i/>
          <w:sz w:val="16"/>
          <w:szCs w:val="16"/>
        </w:rPr>
        <w:t>2.º Que los ocupantes acrediten por cualquier medio admitido en derecho que la ocupación sin título se inició, como mínimo, seis meses antes de la entrada en vigor del Decreto-ley de 23 de diciembre de 2019, de medidas urgentes para mejorar el acceso a la vivienda.</w:t>
      </w:r>
    </w:p>
    <w:p w:rsidR="000135AD" w:rsidRPr="00321D4B" w:rsidRDefault="000135AD" w:rsidP="00321D4B">
      <w:pPr>
        <w:pStyle w:val="Textonotapie"/>
        <w:jc w:val="both"/>
        <w:rPr>
          <w:i/>
          <w:sz w:val="16"/>
          <w:szCs w:val="16"/>
        </w:rPr>
      </w:pPr>
      <w:r w:rsidRPr="00321D4B">
        <w:rPr>
          <w:i/>
          <w:sz w:val="16"/>
          <w:szCs w:val="16"/>
        </w:rPr>
        <w:t>3.º Que los ocupantes no hayan rechazado ninguna opción de realojamiento social en los últimos dos años ofrecida por cualquier administración pública o de acuerdo con el artículo 5.2.</w:t>
      </w:r>
    </w:p>
    <w:p w:rsidR="000135AD" w:rsidRPr="00321D4B" w:rsidRDefault="000135AD" w:rsidP="00321D4B">
      <w:pPr>
        <w:pStyle w:val="Textonotapie"/>
        <w:jc w:val="both"/>
        <w:rPr>
          <w:i/>
          <w:sz w:val="16"/>
          <w:szCs w:val="16"/>
        </w:rPr>
      </w:pPr>
      <w:r w:rsidRPr="00321D4B">
        <w:rPr>
          <w:i/>
          <w:sz w:val="16"/>
          <w:szCs w:val="16"/>
        </w:rPr>
        <w:t>4.º Que los servicios municipales informen favorablemente sobre el cumplimiento, por parte de los ocupantes, de los parámetros de riesgo de exclusión residencial y sobre el arraigo y la convivencia en el entorno vecinal.</w:t>
      </w:r>
    </w:p>
    <w:p w:rsidR="000135AD" w:rsidRPr="00321D4B" w:rsidRDefault="000135AD" w:rsidP="00321D4B">
      <w:pPr>
        <w:pStyle w:val="Textonotapie"/>
        <w:jc w:val="both"/>
        <w:rPr>
          <w:i/>
          <w:sz w:val="16"/>
          <w:szCs w:val="16"/>
        </w:rPr>
      </w:pPr>
      <w:r w:rsidRPr="00321D4B">
        <w:rPr>
          <w:i/>
          <w:sz w:val="16"/>
          <w:szCs w:val="16"/>
        </w:rPr>
        <w:t>2. La duración mínima de los contratos de alquiler social a suscribir de acuerdo con lo que establece esta Ley tiene que ser como mínimo igual que la prevista en la legislación de arrendamientos urbanos y, en cualquier caso, no puede ser inferior a cinco años, en caso de que el titular de la vivienda sea una persona física, y a siete años si lo es una persona jurídica.</w:t>
      </w:r>
    </w:p>
    <w:p w:rsidR="000135AD" w:rsidRPr="00321D4B" w:rsidRDefault="000135AD" w:rsidP="00321D4B">
      <w:pPr>
        <w:pStyle w:val="Textonotapie"/>
        <w:jc w:val="both"/>
        <w:rPr>
          <w:i/>
          <w:sz w:val="16"/>
          <w:szCs w:val="16"/>
        </w:rPr>
      </w:pPr>
      <w:r w:rsidRPr="00321D4B">
        <w:rPr>
          <w:i/>
          <w:sz w:val="16"/>
          <w:szCs w:val="16"/>
        </w:rPr>
        <w:t>3. La definición de gran tenedor a que hace referencia el artículo 5.9 se hace extensiva en los mismos términos a:</w:t>
      </w:r>
    </w:p>
    <w:p w:rsidR="000135AD" w:rsidRPr="00321D4B" w:rsidRDefault="000135AD" w:rsidP="00321D4B">
      <w:pPr>
        <w:pStyle w:val="Textonotapie"/>
        <w:jc w:val="both"/>
        <w:rPr>
          <w:i/>
          <w:sz w:val="16"/>
          <w:szCs w:val="16"/>
        </w:rPr>
      </w:pPr>
      <w:r w:rsidRPr="00321D4B">
        <w:rPr>
          <w:i/>
          <w:sz w:val="16"/>
          <w:szCs w:val="16"/>
        </w:rPr>
        <w:t>a) Los fondos de capital riesgo y de titulización de activos.</w:t>
      </w:r>
    </w:p>
    <w:p w:rsidR="000135AD" w:rsidRPr="00321D4B" w:rsidRDefault="000135AD" w:rsidP="00321D4B">
      <w:pPr>
        <w:pStyle w:val="Textonotapie"/>
        <w:jc w:val="both"/>
        <w:rPr>
          <w:sz w:val="16"/>
          <w:szCs w:val="16"/>
        </w:rPr>
      </w:pPr>
      <w:r w:rsidRPr="00321D4B">
        <w:rPr>
          <w:i/>
          <w:sz w:val="16"/>
          <w:szCs w:val="16"/>
        </w:rPr>
        <w:t xml:space="preserve">b) Las personas físicas que dispongan de la titularidad de más de quince viviendas, con las mismas excepciones que para las personas jurídicas prevé la </w:t>
      </w:r>
      <w:r>
        <w:rPr>
          <w:i/>
          <w:sz w:val="16"/>
          <w:szCs w:val="16"/>
        </w:rPr>
        <w:t>letra b) del artículo 5.9"</w:t>
      </w:r>
      <w:r w:rsidRPr="00321D4B">
        <w:rPr>
          <w:i/>
          <w:sz w:val="16"/>
          <w:szCs w:val="16"/>
        </w:rPr>
        <w:t>.</w:t>
      </w:r>
    </w:p>
  </w:footnote>
  <w:footnote w:id="16">
    <w:p w:rsidR="000135AD" w:rsidRPr="00321D4B" w:rsidRDefault="000135AD" w:rsidP="00321D4B">
      <w:pPr>
        <w:pStyle w:val="Textonotapie"/>
        <w:rPr>
          <w:sz w:val="16"/>
          <w:szCs w:val="16"/>
        </w:rPr>
      </w:pPr>
      <w:r w:rsidRPr="00321D4B">
        <w:rPr>
          <w:rStyle w:val="Refdenotaalpie"/>
          <w:sz w:val="16"/>
          <w:szCs w:val="16"/>
          <w:vertAlign w:val="baseline"/>
        </w:rPr>
        <w:footnoteRef/>
      </w:r>
      <w:r w:rsidRPr="00321D4B">
        <w:rPr>
          <w:sz w:val="16"/>
          <w:szCs w:val="16"/>
        </w:rPr>
        <w:t xml:space="preserve"> </w:t>
      </w:r>
      <w:r>
        <w:rPr>
          <w:sz w:val="16"/>
          <w:szCs w:val="16"/>
        </w:rPr>
        <w:t xml:space="preserve">El art. </w:t>
      </w:r>
      <w:r w:rsidRPr="00321D4B">
        <w:rPr>
          <w:sz w:val="16"/>
          <w:szCs w:val="16"/>
        </w:rPr>
        <w:t>6.6 modific</w:t>
      </w:r>
      <w:r>
        <w:rPr>
          <w:sz w:val="16"/>
          <w:szCs w:val="16"/>
        </w:rPr>
        <w:t xml:space="preserve">ó </w:t>
      </w:r>
      <w:r w:rsidRPr="00321D4B">
        <w:rPr>
          <w:sz w:val="16"/>
          <w:szCs w:val="16"/>
        </w:rPr>
        <w:t>el artículo 16</w:t>
      </w:r>
      <w:r>
        <w:rPr>
          <w:sz w:val="16"/>
          <w:szCs w:val="16"/>
        </w:rPr>
        <w:t>.3</w:t>
      </w:r>
      <w:r w:rsidRPr="00321D4B">
        <w:rPr>
          <w:sz w:val="16"/>
          <w:szCs w:val="16"/>
        </w:rPr>
        <w:t xml:space="preserve"> de la Ley de medidas de protección</w:t>
      </w:r>
      <w:r>
        <w:rPr>
          <w:sz w:val="16"/>
          <w:szCs w:val="16"/>
        </w:rPr>
        <w:t xml:space="preserve"> </w:t>
      </w:r>
      <w:r w:rsidRPr="00321D4B">
        <w:rPr>
          <w:sz w:val="16"/>
          <w:szCs w:val="16"/>
        </w:rPr>
        <w:t>del derecho a la vivienda de las personas en riesgo de exclusión residencial, que qued</w:t>
      </w:r>
      <w:r>
        <w:rPr>
          <w:sz w:val="16"/>
          <w:szCs w:val="16"/>
        </w:rPr>
        <w:t>ó</w:t>
      </w:r>
      <w:r w:rsidRPr="00321D4B">
        <w:rPr>
          <w:sz w:val="16"/>
          <w:szCs w:val="16"/>
        </w:rPr>
        <w:t>:</w:t>
      </w:r>
    </w:p>
    <w:p w:rsidR="000135AD" w:rsidRPr="00A13280" w:rsidRDefault="000135AD" w:rsidP="00A13280">
      <w:pPr>
        <w:pStyle w:val="Textonotapie"/>
        <w:jc w:val="both"/>
        <w:rPr>
          <w:i/>
          <w:sz w:val="16"/>
          <w:szCs w:val="16"/>
        </w:rPr>
      </w:pPr>
      <w:r w:rsidRPr="00A13280">
        <w:rPr>
          <w:i/>
          <w:sz w:val="16"/>
          <w:szCs w:val="16"/>
        </w:rPr>
        <w:t>"3. Están obligados, como última medida, a ofrecer a los ocupantes que se encuentren en las condiciones a que hace referencia el apartado 1 el realojamiento en una vivienda de su titularidad, en régimen de alquiler y por un plazo igual a la duración mínima prevista en la legislación de arrendamientos urbanos en función del tipo de arrendador, los adquirentes de las viviendas y los instantes de los procesos judiciales de ejecución hipotecaria o de otro tipo derivada de la reclamación de una deuda hipotecaria, o de desahucio por impago de rentas de alquiler a que hacen referencia las letras a) y b) que, al mismo tiempo, sean, de acuerdo con la Ley 24/2015, del 29 de julio, de medidas urgentes para afrontar la emergencia en el ámbito de la vivienda y la pobreza energética, grandes tenedores titulares de viviendas inscritas en el registro de viviendas vacías y de viviendas ocupadas sin título habilitante, o susceptibles de ser inscritas, o personas jurídicas titulares de viviendas que hayan adquirido de un titular de viviendas inscritas en el registro en primera o ulteriores transmisiones, aunque el titular actual sea un fondo de titulización de activos o que la adquisición se haya efectuado mediante la transmisión de acciones o participaciones de sociedades mercantiles".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69"/>
    <w:multiLevelType w:val="hybridMultilevel"/>
    <w:tmpl w:val="9E6AB0B2"/>
    <w:lvl w:ilvl="0" w:tplc="8EF49EF6">
      <w:start w:val="1"/>
      <w:numFmt w:val="bullet"/>
      <w:lvlText w:val="-"/>
      <w:lvlJc w:val="left"/>
      <w:pPr>
        <w:ind w:left="1429" w:hanging="360"/>
      </w:pPr>
      <w:rPr>
        <w:rFonts w:ascii="Arial" w:hAnsi="Aria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14C676D"/>
    <w:multiLevelType w:val="hybridMultilevel"/>
    <w:tmpl w:val="6AF0026C"/>
    <w:lvl w:ilvl="0" w:tplc="A19C731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9634F27"/>
    <w:multiLevelType w:val="hybridMultilevel"/>
    <w:tmpl w:val="F9665274"/>
    <w:lvl w:ilvl="0" w:tplc="C79E7E22">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15:restartNumberingAfterBreak="0">
    <w:nsid w:val="0A307BA5"/>
    <w:multiLevelType w:val="hybridMultilevel"/>
    <w:tmpl w:val="97122816"/>
    <w:lvl w:ilvl="0" w:tplc="C79E7E22">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4" w15:restartNumberingAfterBreak="0">
    <w:nsid w:val="17D862BF"/>
    <w:multiLevelType w:val="hybridMultilevel"/>
    <w:tmpl w:val="106A322C"/>
    <w:lvl w:ilvl="0" w:tplc="AD807CB8">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5" w15:restartNumberingAfterBreak="0">
    <w:nsid w:val="1C023460"/>
    <w:multiLevelType w:val="hybridMultilevel"/>
    <w:tmpl w:val="765AE846"/>
    <w:lvl w:ilvl="0" w:tplc="A8DA458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F220021"/>
    <w:multiLevelType w:val="hybridMultilevel"/>
    <w:tmpl w:val="509A9610"/>
    <w:lvl w:ilvl="0" w:tplc="4CB417C0">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1614F47"/>
    <w:multiLevelType w:val="hybridMultilevel"/>
    <w:tmpl w:val="A42CBA08"/>
    <w:lvl w:ilvl="0" w:tplc="BC5C887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23D3C49"/>
    <w:multiLevelType w:val="hybridMultilevel"/>
    <w:tmpl w:val="F192FDEE"/>
    <w:lvl w:ilvl="0" w:tplc="3FDEA7C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9" w15:restartNumberingAfterBreak="0">
    <w:nsid w:val="24016458"/>
    <w:multiLevelType w:val="hybridMultilevel"/>
    <w:tmpl w:val="661CA25C"/>
    <w:lvl w:ilvl="0" w:tplc="4CB417C0">
      <w:start w:val="1"/>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41A2EFB"/>
    <w:multiLevelType w:val="hybridMultilevel"/>
    <w:tmpl w:val="7ECA7CDE"/>
    <w:lvl w:ilvl="0" w:tplc="4CB417C0">
      <w:start w:val="2"/>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B3C6077"/>
    <w:multiLevelType w:val="hybridMultilevel"/>
    <w:tmpl w:val="588C635C"/>
    <w:lvl w:ilvl="0" w:tplc="72189EB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2E0A669D"/>
    <w:multiLevelType w:val="hybridMultilevel"/>
    <w:tmpl w:val="4608F64E"/>
    <w:lvl w:ilvl="0" w:tplc="82985F2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5D60ACF"/>
    <w:multiLevelType w:val="hybridMultilevel"/>
    <w:tmpl w:val="7FB602C2"/>
    <w:lvl w:ilvl="0" w:tplc="2CB810F2">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4" w15:restartNumberingAfterBreak="0">
    <w:nsid w:val="373D6542"/>
    <w:multiLevelType w:val="hybridMultilevel"/>
    <w:tmpl w:val="DD0A6114"/>
    <w:lvl w:ilvl="0" w:tplc="C9928BE8">
      <w:numFmt w:val="bullet"/>
      <w:lvlText w:val="-"/>
      <w:lvlJc w:val="left"/>
      <w:pPr>
        <w:ind w:left="1069" w:hanging="360"/>
      </w:pPr>
      <w:rPr>
        <w:rFonts w:ascii="Times New Roman" w:eastAsia="Times New Roman" w:hAnsi="Times New Roman"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5" w15:restartNumberingAfterBreak="0">
    <w:nsid w:val="37D52C02"/>
    <w:multiLevelType w:val="hybridMultilevel"/>
    <w:tmpl w:val="25E412CC"/>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386955D4"/>
    <w:multiLevelType w:val="hybridMultilevel"/>
    <w:tmpl w:val="AADE76C0"/>
    <w:lvl w:ilvl="0" w:tplc="B81A7158">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7" w15:restartNumberingAfterBreak="0">
    <w:nsid w:val="41341B7F"/>
    <w:multiLevelType w:val="hybridMultilevel"/>
    <w:tmpl w:val="5A783802"/>
    <w:lvl w:ilvl="0" w:tplc="59E88AE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435728C4"/>
    <w:multiLevelType w:val="hybridMultilevel"/>
    <w:tmpl w:val="85B28434"/>
    <w:lvl w:ilvl="0" w:tplc="8B90893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6306BB7"/>
    <w:multiLevelType w:val="hybridMultilevel"/>
    <w:tmpl w:val="FB4C2FC6"/>
    <w:lvl w:ilvl="0" w:tplc="DE785F0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48983F3E"/>
    <w:multiLevelType w:val="hybridMultilevel"/>
    <w:tmpl w:val="DD24485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4FE968FD"/>
    <w:multiLevelType w:val="hybridMultilevel"/>
    <w:tmpl w:val="0994C6DE"/>
    <w:lvl w:ilvl="0" w:tplc="D1264338">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50D37759"/>
    <w:multiLevelType w:val="hybridMultilevel"/>
    <w:tmpl w:val="CAE0794E"/>
    <w:lvl w:ilvl="0" w:tplc="8EF49EF6">
      <w:start w:val="1"/>
      <w:numFmt w:val="bullet"/>
      <w:lvlText w:val="-"/>
      <w:lvlJc w:val="left"/>
      <w:pPr>
        <w:ind w:left="1429" w:hanging="360"/>
      </w:pPr>
      <w:rPr>
        <w:rFonts w:ascii="Arial"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598A4BCA"/>
    <w:multiLevelType w:val="hybridMultilevel"/>
    <w:tmpl w:val="7DCC83D2"/>
    <w:lvl w:ilvl="0" w:tplc="8EF49EF6">
      <w:start w:val="1"/>
      <w:numFmt w:val="bullet"/>
      <w:lvlText w:val="-"/>
      <w:lvlJc w:val="left"/>
      <w:pPr>
        <w:ind w:left="1429" w:hanging="360"/>
      </w:pPr>
      <w:rPr>
        <w:rFonts w:ascii="Arial"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5B0D56BD"/>
    <w:multiLevelType w:val="hybridMultilevel"/>
    <w:tmpl w:val="FEB276DC"/>
    <w:lvl w:ilvl="0" w:tplc="0E82E5A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5E30121E"/>
    <w:multiLevelType w:val="hybridMultilevel"/>
    <w:tmpl w:val="490A50DC"/>
    <w:lvl w:ilvl="0" w:tplc="C5B8B152">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6" w15:restartNumberingAfterBreak="0">
    <w:nsid w:val="67277E4B"/>
    <w:multiLevelType w:val="hybridMultilevel"/>
    <w:tmpl w:val="DAFA57B8"/>
    <w:lvl w:ilvl="0" w:tplc="5A84E5E0">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69E70A97"/>
    <w:multiLevelType w:val="hybridMultilevel"/>
    <w:tmpl w:val="78ACB9AC"/>
    <w:lvl w:ilvl="0" w:tplc="467A181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6AED4EAC"/>
    <w:multiLevelType w:val="hybridMultilevel"/>
    <w:tmpl w:val="42147730"/>
    <w:lvl w:ilvl="0" w:tplc="E6DC0E76">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9" w15:restartNumberingAfterBreak="0">
    <w:nsid w:val="71A16D7C"/>
    <w:multiLevelType w:val="hybridMultilevel"/>
    <w:tmpl w:val="DCD0A748"/>
    <w:lvl w:ilvl="0" w:tplc="D04C74C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747C1ABF"/>
    <w:multiLevelType w:val="hybridMultilevel"/>
    <w:tmpl w:val="E002646A"/>
    <w:lvl w:ilvl="0" w:tplc="F53A6364">
      <w:start w:val="1"/>
      <w:numFmt w:val="lowerLetter"/>
      <w:lvlText w:val="%1)"/>
      <w:lvlJc w:val="left"/>
      <w:pPr>
        <w:ind w:left="1069" w:hanging="360"/>
      </w:pPr>
      <w:rPr>
        <w:rFonts w:hint="default"/>
      </w:rPr>
    </w:lvl>
    <w:lvl w:ilvl="1" w:tplc="0C0A001B">
      <w:start w:val="1"/>
      <w:numFmt w:val="lowerRoman"/>
      <w:lvlText w:val="%2."/>
      <w:lvlJc w:val="righ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74F65ADD"/>
    <w:multiLevelType w:val="hybridMultilevel"/>
    <w:tmpl w:val="54E09F88"/>
    <w:lvl w:ilvl="0" w:tplc="69426AB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2" w15:restartNumberingAfterBreak="0">
    <w:nsid w:val="78B05169"/>
    <w:multiLevelType w:val="hybridMultilevel"/>
    <w:tmpl w:val="1460F056"/>
    <w:lvl w:ilvl="0" w:tplc="B142A7B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78C570E6"/>
    <w:multiLevelType w:val="hybridMultilevel"/>
    <w:tmpl w:val="DB8AB52E"/>
    <w:lvl w:ilvl="0" w:tplc="12C091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26"/>
  </w:num>
  <w:num w:numId="14">
    <w:abstractNumId w:val="2"/>
  </w:num>
  <w:num w:numId="15">
    <w:abstractNumId w:val="15"/>
  </w:num>
  <w:num w:numId="16">
    <w:abstractNumId w:val="24"/>
  </w:num>
  <w:num w:numId="17">
    <w:abstractNumId w:val="20"/>
  </w:num>
  <w:num w:numId="18">
    <w:abstractNumId w:val="6"/>
  </w:num>
  <w:num w:numId="19">
    <w:abstractNumId w:val="9"/>
  </w:num>
  <w:num w:numId="20">
    <w:abstractNumId w:val="5"/>
  </w:num>
  <w:num w:numId="21">
    <w:abstractNumId w:val="19"/>
  </w:num>
  <w:num w:numId="22">
    <w:abstractNumId w:val="23"/>
  </w:num>
  <w:num w:numId="23">
    <w:abstractNumId w:val="32"/>
  </w:num>
  <w:num w:numId="24">
    <w:abstractNumId w:val="0"/>
  </w:num>
  <w:num w:numId="25">
    <w:abstractNumId w:val="21"/>
  </w:num>
  <w:num w:numId="26">
    <w:abstractNumId w:val="22"/>
  </w:num>
  <w:num w:numId="27">
    <w:abstractNumId w:val="30"/>
  </w:num>
  <w:num w:numId="28">
    <w:abstractNumId w:val="12"/>
  </w:num>
  <w:num w:numId="29">
    <w:abstractNumId w:val="7"/>
  </w:num>
  <w:num w:numId="30">
    <w:abstractNumId w:val="11"/>
  </w:num>
  <w:num w:numId="31">
    <w:abstractNumId w:val="29"/>
  </w:num>
  <w:num w:numId="32">
    <w:abstractNumId w:val="27"/>
  </w:num>
  <w:num w:numId="33">
    <w:abstractNumId w:val="18"/>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42"/>
    <w:rsid w:val="00007ECC"/>
    <w:rsid w:val="000135AD"/>
    <w:rsid w:val="0001369D"/>
    <w:rsid w:val="000277CA"/>
    <w:rsid w:val="00031351"/>
    <w:rsid w:val="00032AB9"/>
    <w:rsid w:val="00033AD2"/>
    <w:rsid w:val="0007193F"/>
    <w:rsid w:val="00074D83"/>
    <w:rsid w:val="000C1C20"/>
    <w:rsid w:val="000E4F2A"/>
    <w:rsid w:val="000E523A"/>
    <w:rsid w:val="000F6CDB"/>
    <w:rsid w:val="001545A4"/>
    <w:rsid w:val="00155EE3"/>
    <w:rsid w:val="001804BD"/>
    <w:rsid w:val="001B0547"/>
    <w:rsid w:val="001B376F"/>
    <w:rsid w:val="001E3178"/>
    <w:rsid w:val="00212B54"/>
    <w:rsid w:val="002131AA"/>
    <w:rsid w:val="00225DED"/>
    <w:rsid w:val="0025762A"/>
    <w:rsid w:val="002D237C"/>
    <w:rsid w:val="002E0799"/>
    <w:rsid w:val="002F327F"/>
    <w:rsid w:val="00321D4B"/>
    <w:rsid w:val="00376E93"/>
    <w:rsid w:val="00383734"/>
    <w:rsid w:val="003D5E64"/>
    <w:rsid w:val="004017F5"/>
    <w:rsid w:val="00466428"/>
    <w:rsid w:val="00486CE3"/>
    <w:rsid w:val="004C547F"/>
    <w:rsid w:val="004C6BC2"/>
    <w:rsid w:val="00543712"/>
    <w:rsid w:val="00580A87"/>
    <w:rsid w:val="0058720D"/>
    <w:rsid w:val="00587A9B"/>
    <w:rsid w:val="005A08D5"/>
    <w:rsid w:val="005E0615"/>
    <w:rsid w:val="00622642"/>
    <w:rsid w:val="00625495"/>
    <w:rsid w:val="006375D1"/>
    <w:rsid w:val="00660DE2"/>
    <w:rsid w:val="006755DA"/>
    <w:rsid w:val="00682530"/>
    <w:rsid w:val="006E6D5D"/>
    <w:rsid w:val="00743DC4"/>
    <w:rsid w:val="0074653A"/>
    <w:rsid w:val="007766BE"/>
    <w:rsid w:val="00791335"/>
    <w:rsid w:val="007C07B1"/>
    <w:rsid w:val="00846594"/>
    <w:rsid w:val="00871306"/>
    <w:rsid w:val="008D2FFE"/>
    <w:rsid w:val="008E0D50"/>
    <w:rsid w:val="008E30B2"/>
    <w:rsid w:val="008F723D"/>
    <w:rsid w:val="0092729C"/>
    <w:rsid w:val="0093245F"/>
    <w:rsid w:val="009A13A3"/>
    <w:rsid w:val="00A12F6F"/>
    <w:rsid w:val="00A13280"/>
    <w:rsid w:val="00A2168D"/>
    <w:rsid w:val="00A337B3"/>
    <w:rsid w:val="00A35D1D"/>
    <w:rsid w:val="00AE2690"/>
    <w:rsid w:val="00B167EE"/>
    <w:rsid w:val="00B3171B"/>
    <w:rsid w:val="00B429FC"/>
    <w:rsid w:val="00B53951"/>
    <w:rsid w:val="00B7548E"/>
    <w:rsid w:val="00B84039"/>
    <w:rsid w:val="00B96E9D"/>
    <w:rsid w:val="00C6488D"/>
    <w:rsid w:val="00C809AC"/>
    <w:rsid w:val="00D27A78"/>
    <w:rsid w:val="00D75F50"/>
    <w:rsid w:val="00DA35CF"/>
    <w:rsid w:val="00E167C3"/>
    <w:rsid w:val="00E61965"/>
    <w:rsid w:val="00E760A4"/>
    <w:rsid w:val="00EA25EA"/>
    <w:rsid w:val="00EA752D"/>
    <w:rsid w:val="00EB4B39"/>
    <w:rsid w:val="00EC3ED6"/>
    <w:rsid w:val="00EC49CA"/>
    <w:rsid w:val="00EE41BC"/>
    <w:rsid w:val="00F1029F"/>
    <w:rsid w:val="00F11FC4"/>
    <w:rsid w:val="00F605A6"/>
    <w:rsid w:val="00F7554A"/>
    <w:rsid w:val="00F86927"/>
    <w:rsid w:val="00FB431D"/>
    <w:rsid w:val="00FC0169"/>
    <w:rsid w:val="00FD7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9ACF"/>
  <w15:chartTrackingRefBased/>
  <w15:docId w15:val="{EDC82065-4333-4FE6-81F2-EF852F03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212B54"/>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C20"/>
    <w:pPr>
      <w:ind w:left="720"/>
      <w:contextualSpacing/>
    </w:pPr>
  </w:style>
  <w:style w:type="character" w:customStyle="1" w:styleId="Ttulo5Car">
    <w:name w:val="Título 5 Car"/>
    <w:basedOn w:val="Fuentedeprrafopredeter"/>
    <w:link w:val="Ttulo5"/>
    <w:uiPriority w:val="9"/>
    <w:rsid w:val="00212B54"/>
    <w:rPr>
      <w:rFonts w:ascii="Times New Roman" w:eastAsia="Times New Roman" w:hAnsi="Times New Roman" w:cs="Times New Roman"/>
      <w:b/>
      <w:bCs/>
      <w:sz w:val="20"/>
      <w:szCs w:val="20"/>
      <w:lang w:eastAsia="es-ES"/>
    </w:rPr>
  </w:style>
  <w:style w:type="paragraph" w:customStyle="1" w:styleId="a">
    <w:name w:val="a"/>
    <w:basedOn w:val="Normal"/>
    <w:rsid w:val="008E0D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E0D50"/>
    <w:rPr>
      <w:i/>
      <w:iCs/>
    </w:rPr>
  </w:style>
  <w:style w:type="paragraph" w:styleId="NormalWeb">
    <w:name w:val="Normal (Web)"/>
    <w:basedOn w:val="Normal"/>
    <w:uiPriority w:val="99"/>
    <w:semiHidden/>
    <w:unhideWhenUsed/>
    <w:rsid w:val="008E0D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33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7B3"/>
  </w:style>
  <w:style w:type="paragraph" w:styleId="Piedepgina">
    <w:name w:val="footer"/>
    <w:basedOn w:val="Normal"/>
    <w:link w:val="PiedepginaCar"/>
    <w:uiPriority w:val="99"/>
    <w:unhideWhenUsed/>
    <w:rsid w:val="00A33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7B3"/>
  </w:style>
  <w:style w:type="paragraph" w:customStyle="1" w:styleId="Default">
    <w:name w:val="Default"/>
    <w:rsid w:val="00486CE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3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45F"/>
    <w:rPr>
      <w:sz w:val="20"/>
      <w:szCs w:val="20"/>
    </w:rPr>
  </w:style>
  <w:style w:type="character" w:styleId="Refdenotaalpie">
    <w:name w:val="footnote reference"/>
    <w:basedOn w:val="Fuentedeprrafopredeter"/>
    <w:uiPriority w:val="99"/>
    <w:semiHidden/>
    <w:unhideWhenUsed/>
    <w:rsid w:val="00932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8086">
      <w:bodyDiv w:val="1"/>
      <w:marLeft w:val="0"/>
      <w:marRight w:val="0"/>
      <w:marTop w:val="0"/>
      <w:marBottom w:val="0"/>
      <w:divBdr>
        <w:top w:val="none" w:sz="0" w:space="0" w:color="auto"/>
        <w:left w:val="none" w:sz="0" w:space="0" w:color="auto"/>
        <w:bottom w:val="none" w:sz="0" w:space="0" w:color="auto"/>
        <w:right w:val="none" w:sz="0" w:space="0" w:color="auto"/>
      </w:divBdr>
    </w:div>
    <w:div w:id="616908584">
      <w:bodyDiv w:val="1"/>
      <w:marLeft w:val="0"/>
      <w:marRight w:val="0"/>
      <w:marTop w:val="0"/>
      <w:marBottom w:val="0"/>
      <w:divBdr>
        <w:top w:val="none" w:sz="0" w:space="0" w:color="auto"/>
        <w:left w:val="none" w:sz="0" w:space="0" w:color="auto"/>
        <w:bottom w:val="none" w:sz="0" w:space="0" w:color="auto"/>
        <w:right w:val="none" w:sz="0" w:space="0" w:color="auto"/>
      </w:divBdr>
    </w:div>
    <w:div w:id="706636989">
      <w:bodyDiv w:val="1"/>
      <w:marLeft w:val="0"/>
      <w:marRight w:val="0"/>
      <w:marTop w:val="0"/>
      <w:marBottom w:val="0"/>
      <w:divBdr>
        <w:top w:val="none" w:sz="0" w:space="0" w:color="auto"/>
        <w:left w:val="none" w:sz="0" w:space="0" w:color="auto"/>
        <w:bottom w:val="none" w:sz="0" w:space="0" w:color="auto"/>
        <w:right w:val="none" w:sz="0" w:space="0" w:color="auto"/>
      </w:divBdr>
      <w:divsChild>
        <w:div w:id="991519604">
          <w:blockQuote w:val="1"/>
          <w:marLeft w:val="960"/>
          <w:marRight w:val="0"/>
          <w:marTop w:val="0"/>
          <w:marBottom w:val="0"/>
          <w:divBdr>
            <w:top w:val="none" w:sz="0" w:space="0" w:color="auto"/>
            <w:left w:val="none" w:sz="0" w:space="0" w:color="auto"/>
            <w:bottom w:val="none" w:sz="0" w:space="0" w:color="auto"/>
            <w:right w:val="none" w:sz="0" w:space="0" w:color="auto"/>
          </w:divBdr>
        </w:div>
        <w:div w:id="178738632">
          <w:blockQuote w:val="1"/>
          <w:marLeft w:val="960"/>
          <w:marRight w:val="0"/>
          <w:marTop w:val="0"/>
          <w:marBottom w:val="0"/>
          <w:divBdr>
            <w:top w:val="none" w:sz="0" w:space="0" w:color="auto"/>
            <w:left w:val="none" w:sz="0" w:space="0" w:color="auto"/>
            <w:bottom w:val="none" w:sz="0" w:space="0" w:color="auto"/>
            <w:right w:val="none" w:sz="0" w:space="0" w:color="auto"/>
          </w:divBdr>
        </w:div>
        <w:div w:id="2007593090">
          <w:blockQuote w:val="1"/>
          <w:marLeft w:val="960"/>
          <w:marRight w:val="0"/>
          <w:marTop w:val="0"/>
          <w:marBottom w:val="0"/>
          <w:divBdr>
            <w:top w:val="none" w:sz="0" w:space="0" w:color="auto"/>
            <w:left w:val="none" w:sz="0" w:space="0" w:color="auto"/>
            <w:bottom w:val="none" w:sz="0" w:space="0" w:color="auto"/>
            <w:right w:val="none" w:sz="0" w:space="0" w:color="auto"/>
          </w:divBdr>
        </w:div>
        <w:div w:id="1219709136">
          <w:blockQuote w:val="1"/>
          <w:marLeft w:val="960"/>
          <w:marRight w:val="0"/>
          <w:marTop w:val="0"/>
          <w:marBottom w:val="0"/>
          <w:divBdr>
            <w:top w:val="none" w:sz="0" w:space="0" w:color="auto"/>
            <w:left w:val="none" w:sz="0" w:space="0" w:color="auto"/>
            <w:bottom w:val="none" w:sz="0" w:space="0" w:color="auto"/>
            <w:right w:val="none" w:sz="0" w:space="0" w:color="auto"/>
          </w:divBdr>
        </w:div>
        <w:div w:id="1993098590">
          <w:blockQuote w:val="1"/>
          <w:marLeft w:val="960"/>
          <w:marRight w:val="0"/>
          <w:marTop w:val="0"/>
          <w:marBottom w:val="0"/>
          <w:divBdr>
            <w:top w:val="none" w:sz="0" w:space="0" w:color="auto"/>
            <w:left w:val="none" w:sz="0" w:space="0" w:color="auto"/>
            <w:bottom w:val="none" w:sz="0" w:space="0" w:color="auto"/>
            <w:right w:val="none" w:sz="0" w:space="0" w:color="auto"/>
          </w:divBdr>
        </w:div>
        <w:div w:id="1212814524">
          <w:blockQuote w:val="1"/>
          <w:marLeft w:val="960"/>
          <w:marRight w:val="0"/>
          <w:marTop w:val="0"/>
          <w:marBottom w:val="0"/>
          <w:divBdr>
            <w:top w:val="none" w:sz="0" w:space="0" w:color="auto"/>
            <w:left w:val="none" w:sz="0" w:space="0" w:color="auto"/>
            <w:bottom w:val="none" w:sz="0" w:space="0" w:color="auto"/>
            <w:right w:val="none" w:sz="0" w:space="0" w:color="auto"/>
          </w:divBdr>
        </w:div>
        <w:div w:id="120003513">
          <w:blockQuote w:val="1"/>
          <w:marLeft w:val="960"/>
          <w:marRight w:val="0"/>
          <w:marTop w:val="0"/>
          <w:marBottom w:val="0"/>
          <w:divBdr>
            <w:top w:val="none" w:sz="0" w:space="0" w:color="auto"/>
            <w:left w:val="none" w:sz="0" w:space="0" w:color="auto"/>
            <w:bottom w:val="none" w:sz="0" w:space="0" w:color="auto"/>
            <w:right w:val="none" w:sz="0" w:space="0" w:color="auto"/>
          </w:divBdr>
        </w:div>
        <w:div w:id="272631827">
          <w:blockQuote w:val="1"/>
          <w:marLeft w:val="960"/>
          <w:marRight w:val="0"/>
          <w:marTop w:val="0"/>
          <w:marBottom w:val="0"/>
          <w:divBdr>
            <w:top w:val="none" w:sz="0" w:space="0" w:color="auto"/>
            <w:left w:val="none" w:sz="0" w:space="0" w:color="auto"/>
            <w:bottom w:val="none" w:sz="0" w:space="0" w:color="auto"/>
            <w:right w:val="none" w:sz="0" w:space="0" w:color="auto"/>
          </w:divBdr>
        </w:div>
        <w:div w:id="1089884812">
          <w:blockQuote w:val="1"/>
          <w:marLeft w:val="960"/>
          <w:marRight w:val="0"/>
          <w:marTop w:val="0"/>
          <w:marBottom w:val="0"/>
          <w:divBdr>
            <w:top w:val="none" w:sz="0" w:space="0" w:color="auto"/>
            <w:left w:val="none" w:sz="0" w:space="0" w:color="auto"/>
            <w:bottom w:val="none" w:sz="0" w:space="0" w:color="auto"/>
            <w:right w:val="none" w:sz="0" w:space="0" w:color="auto"/>
          </w:divBdr>
        </w:div>
        <w:div w:id="1650860618">
          <w:blockQuote w:val="1"/>
          <w:marLeft w:val="960"/>
          <w:marRight w:val="0"/>
          <w:marTop w:val="0"/>
          <w:marBottom w:val="0"/>
          <w:divBdr>
            <w:top w:val="none" w:sz="0" w:space="0" w:color="auto"/>
            <w:left w:val="none" w:sz="0" w:space="0" w:color="auto"/>
            <w:bottom w:val="none" w:sz="0" w:space="0" w:color="auto"/>
            <w:right w:val="none" w:sz="0" w:space="0" w:color="auto"/>
          </w:divBdr>
        </w:div>
        <w:div w:id="1881701656">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1350790575">
      <w:bodyDiv w:val="1"/>
      <w:marLeft w:val="0"/>
      <w:marRight w:val="0"/>
      <w:marTop w:val="0"/>
      <w:marBottom w:val="0"/>
      <w:divBdr>
        <w:top w:val="none" w:sz="0" w:space="0" w:color="auto"/>
        <w:left w:val="none" w:sz="0" w:space="0" w:color="auto"/>
        <w:bottom w:val="none" w:sz="0" w:space="0" w:color="auto"/>
        <w:right w:val="none" w:sz="0" w:space="0" w:color="auto"/>
      </w:divBdr>
    </w:div>
    <w:div w:id="1521773040">
      <w:bodyDiv w:val="1"/>
      <w:marLeft w:val="0"/>
      <w:marRight w:val="0"/>
      <w:marTop w:val="0"/>
      <w:marBottom w:val="0"/>
      <w:divBdr>
        <w:top w:val="none" w:sz="0" w:space="0" w:color="auto"/>
        <w:left w:val="none" w:sz="0" w:space="0" w:color="auto"/>
        <w:bottom w:val="none" w:sz="0" w:space="0" w:color="auto"/>
        <w:right w:val="none" w:sz="0" w:space="0" w:color="auto"/>
      </w:divBdr>
    </w:div>
    <w:div w:id="20845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0F5A-15AB-4840-BC02-1CDCFBD1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56</Pages>
  <Words>18545</Words>
  <Characters>102000</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dcterms:created xsi:type="dcterms:W3CDTF">2021-05-04T11:16:00Z</dcterms:created>
  <dcterms:modified xsi:type="dcterms:W3CDTF">2021-05-18T05:04:00Z</dcterms:modified>
</cp:coreProperties>
</file>